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880" w:leader="none"/>
        </w:tabs>
        <w:jc w:val="center"/>
        <w:rPr>
          <w:rFonts w:ascii="Arial Narrow" w:hAnsi="Arial Narrow"/>
          <w:sz w:val="28"/>
          <w:szCs w:val="28"/>
          <w:lang w:eastAsia="zh-CN"/>
        </w:rPr>
      </w:pPr>
      <w:r>
        <w:rPr>
          <w:rFonts w:cs="Arial" w:ascii="Arial Narrow" w:hAnsi="Arial Narrow"/>
          <w:b/>
          <w:sz w:val="28"/>
          <w:szCs w:val="28"/>
        </w:rPr>
        <w:t>LEI N°. 1474/2023</w:t>
      </w:r>
    </w:p>
    <w:p>
      <w:pPr>
        <w:pStyle w:val="Rodap"/>
        <w:rPr>
          <w:rFonts w:ascii="Arial Narrow" w:hAnsi="Arial Narrow" w:cs="Arial"/>
          <w:szCs w:val="24"/>
        </w:rPr>
      </w:pPr>
      <w:r>
        <w:rPr>
          <w:rFonts w:cs="Arial" w:ascii="Arial Narrow" w:hAnsi="Arial Narrow"/>
          <w:szCs w:val="24"/>
        </w:rPr>
      </w:r>
    </w:p>
    <w:p>
      <w:pPr>
        <w:pStyle w:val="Rodap"/>
        <w:rPr>
          <w:rFonts w:ascii="Arial Narrow" w:hAnsi="Arial Narrow" w:cs="Arial"/>
          <w:szCs w:val="24"/>
        </w:rPr>
      </w:pPr>
      <w:r>
        <w:rPr>
          <w:rFonts w:cs="Arial" w:ascii="Arial Narrow" w:hAnsi="Arial Narrow"/>
          <w:szCs w:val="24"/>
        </w:rPr>
      </w:r>
    </w:p>
    <w:p>
      <w:pPr>
        <w:pStyle w:val="Normal"/>
        <w:tabs>
          <w:tab w:val="clear" w:pos="709"/>
          <w:tab w:val="left" w:pos="1440" w:leader="none"/>
          <w:tab w:val="left" w:pos="2880" w:leader="none"/>
          <w:tab w:val="left" w:pos="4140" w:leader="none"/>
        </w:tabs>
        <w:spacing w:lineRule="auto" w:line="240"/>
        <w:ind w:left="5670" w:hanging="0"/>
        <w:jc w:val="both"/>
        <w:rPr>
          <w:rFonts w:ascii="Arial Narrow" w:hAnsi="Arial Narrow"/>
          <w:sz w:val="24"/>
          <w:szCs w:val="24"/>
        </w:rPr>
      </w:pPr>
      <w:r>
        <w:rPr>
          <w:rFonts w:cs="Arial" w:ascii="Arial Narrow" w:hAnsi="Arial Narrow"/>
          <w:b/>
          <w:sz w:val="24"/>
          <w:szCs w:val="24"/>
        </w:rPr>
        <w:t xml:space="preserve">SÚMULA: </w:t>
      </w:r>
      <w:r>
        <w:rPr>
          <w:rFonts w:cs="Arial" w:ascii="Arial Narrow" w:hAnsi="Arial Narrow"/>
          <w:bCs/>
          <w:sz w:val="24"/>
          <w:szCs w:val="24"/>
        </w:rPr>
        <w:t xml:space="preserve">Dispõe sobre as diretrizes para a elaboração da Lei Orçamentária para o Exercício de 2024.  </w:t>
      </w:r>
    </w:p>
    <w:p>
      <w:pPr>
        <w:pStyle w:val="Normal"/>
        <w:tabs>
          <w:tab w:val="clear" w:pos="709"/>
          <w:tab w:val="left" w:pos="1440" w:leader="none"/>
          <w:tab w:val="left" w:pos="2880" w:leader="none"/>
          <w:tab w:val="left" w:pos="4140" w:leader="none"/>
        </w:tabs>
        <w:jc w:val="both"/>
        <w:rPr>
          <w:rFonts w:ascii="Arial Narrow" w:hAnsi="Arial Narrow"/>
          <w:sz w:val="24"/>
          <w:szCs w:val="24"/>
        </w:rPr>
      </w:pPr>
      <w:r>
        <w:rPr>
          <w:rFonts w:eastAsia="Arial" w:cs="Arial" w:ascii="Arial Narrow" w:hAnsi="Arial Narrow"/>
          <w:bCs/>
          <w:sz w:val="24"/>
          <w:szCs w:val="24"/>
        </w:rPr>
        <w:t xml:space="preserve">                                                                  </w:t>
      </w:r>
      <w:r>
        <w:rPr>
          <w:rFonts w:cs="Arial" w:ascii="Arial Narrow" w:hAnsi="Arial Narrow"/>
          <w:sz w:val="24"/>
          <w:szCs w:val="24"/>
        </w:rPr>
        <w:tab/>
      </w:r>
    </w:p>
    <w:p>
      <w:pPr>
        <w:pStyle w:val="Normal"/>
        <w:tabs>
          <w:tab w:val="clear" w:pos="709"/>
          <w:tab w:val="left" w:pos="3402" w:leader="none"/>
        </w:tabs>
        <w:ind w:firstLine="709"/>
        <w:jc w:val="both"/>
        <w:rPr>
          <w:rFonts w:ascii="Arial Narrow" w:hAnsi="Arial Narrow"/>
          <w:sz w:val="24"/>
          <w:szCs w:val="24"/>
        </w:rPr>
      </w:pPr>
      <w:r>
        <w:rPr>
          <w:rFonts w:eastAsia="Arial" w:cs="Arial" w:ascii="Arial Narrow" w:hAnsi="Arial Narrow"/>
          <w:sz w:val="24"/>
          <w:szCs w:val="24"/>
        </w:rPr>
        <w:t>A</w:t>
      </w:r>
      <w:r>
        <w:rPr>
          <w:rFonts w:cs="Arial" w:ascii="Arial Narrow" w:hAnsi="Arial Narrow"/>
          <w:sz w:val="24"/>
          <w:szCs w:val="24"/>
        </w:rPr>
        <w:t xml:space="preserve"> Prefeita Municipal de Carambeí, Estado do Paraná, no uso de suas atribuições legais, submete à apreciação da Câmara Municipal de Carambeí, o seguinte Projeto de Lei:</w:t>
      </w:r>
    </w:p>
    <w:p>
      <w:pPr>
        <w:pStyle w:val="Corpodotexto"/>
        <w:tabs>
          <w:tab w:val="left" w:pos="-567" w:leader="none"/>
          <w:tab w:val="left" w:pos="0" w:leader="none"/>
        </w:tabs>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s>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bCs/>
          <w:sz w:val="24"/>
          <w:szCs w:val="24"/>
        </w:rPr>
        <w:t>Art. 1º</w:t>
      </w:r>
      <w:r>
        <w:rPr>
          <w:rFonts w:cs="Arial" w:ascii="Arial Narrow" w:hAnsi="Arial Narrow"/>
          <w:sz w:val="24"/>
          <w:szCs w:val="24"/>
        </w:rPr>
        <w:t xml:space="preserve"> - O Orçamento do Município de Carambeí, Estado do Paraná, para o exercício de 2024, será elaborado e executado observando as diretrizes, objetivos, prioridades e metas estabelecidas nesta lei, compreendendo:</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tbl>
      <w:tblPr>
        <w:tblW w:w="8096" w:type="dxa"/>
        <w:jc w:val="left"/>
        <w:tblInd w:w="404" w:type="dxa"/>
        <w:tblLayout w:type="fixed"/>
        <w:tblCellMar>
          <w:top w:w="0" w:type="dxa"/>
          <w:left w:w="108" w:type="dxa"/>
          <w:bottom w:w="0" w:type="dxa"/>
          <w:right w:w="108" w:type="dxa"/>
        </w:tblCellMar>
        <w:tblLook w:firstRow="1" w:noVBand="1" w:lastRow="0" w:firstColumn="1" w:lastColumn="0" w:noHBand="0" w:val="04a0"/>
      </w:tblPr>
      <w:tblGrid>
        <w:gridCol w:w="607"/>
        <w:gridCol w:w="384"/>
        <w:gridCol w:w="7105"/>
      </w:tblGrid>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I</w:t>
            </w:r>
          </w:p>
        </w:tc>
        <w:tc>
          <w:tcPr>
            <w:tcW w:w="384"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Metas Fiscais</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II</w:t>
            </w:r>
          </w:p>
        </w:tc>
        <w:tc>
          <w:tcPr>
            <w:tcW w:w="384"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Riscos Fiscais</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III</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Memórias e Metodologias de Cálculos das Metas Fiscais</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IV</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Prioridades do Executivo e Legislativo Municipal</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V</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Estrutura dos Orçamentos</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VI</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Diretrizes para a Elaboração do Orçamento do Município</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VII</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Disposições sobre a Dívida Pública Municipal</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VIII</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Disposições sobre Despesas com Pessoal</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IX</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 xml:space="preserve">Disposições sobre Alterações na Legislação Tributária </w:t>
            </w:r>
          </w:p>
        </w:tc>
      </w:tr>
      <w:tr>
        <w:trPr/>
        <w:tc>
          <w:tcPr>
            <w:tcW w:w="607" w:type="dxa"/>
            <w:tcBorders>
              <w:top w:val="single" w:sz="4" w:space="0" w:color="000000"/>
              <w:left w:val="single" w:sz="4" w:space="0" w:color="000000"/>
              <w:bottom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X</w:t>
            </w:r>
          </w:p>
        </w:tc>
        <w:tc>
          <w:tcPr>
            <w:tcW w:w="384" w:type="dxa"/>
            <w:tcBorders>
              <w:top w:val="single" w:sz="4" w:space="0" w:color="000000"/>
              <w:left w:val="single" w:sz="4" w:space="0" w:color="000000"/>
              <w:bottom w:val="single" w:sz="4" w:space="0" w:color="000000"/>
            </w:tcBorders>
          </w:tcPr>
          <w:p>
            <w:pPr>
              <w:pStyle w:val="Normal"/>
              <w:widowControl w:val="false"/>
              <w:spacing w:before="0" w:after="160"/>
              <w:jc w:val="center"/>
              <w:rPr>
                <w:rFonts w:ascii="Arial Narrow" w:hAnsi="Arial Narrow"/>
                <w:sz w:val="24"/>
                <w:szCs w:val="24"/>
              </w:rPr>
            </w:pPr>
            <w:r>
              <w:rPr>
                <w:rFonts w:cs="Arial" w:ascii="Arial Narrow" w:hAnsi="Arial Narrow"/>
                <w:sz w:val="24"/>
                <w:szCs w:val="24"/>
              </w:rPr>
              <w:t>-</w:t>
            </w:r>
          </w:p>
        </w:tc>
        <w:tc>
          <w:tcPr>
            <w:tcW w:w="7105" w:type="dxa"/>
            <w:tcBorders>
              <w:top w:val="single" w:sz="4" w:space="0" w:color="000000"/>
              <w:left w:val="single" w:sz="4" w:space="0" w:color="000000"/>
              <w:bottom w:val="single" w:sz="4" w:space="0" w:color="000000"/>
              <w:right w:val="single" w:sz="4" w:space="0" w:color="000000"/>
            </w:tcBorders>
          </w:tcPr>
          <w:p>
            <w:pPr>
              <w:pStyle w:val="Corpodotexto"/>
              <w:widowControl w:val="false"/>
              <w:tabs>
                <w:tab w:val="left" w:pos="-567" w:leader="none"/>
                <w:tab w:val="left" w:pos="0" w:leader="none"/>
                <w:tab w:val="left" w:pos="2160" w:leader="none"/>
              </w:tabs>
              <w:rPr>
                <w:rFonts w:ascii="Arial Narrow" w:hAnsi="Arial Narrow"/>
                <w:sz w:val="24"/>
                <w:szCs w:val="24"/>
              </w:rPr>
            </w:pPr>
            <w:r>
              <w:rPr>
                <w:rFonts w:cs="Arial" w:ascii="Arial Narrow" w:hAnsi="Arial Narrow"/>
                <w:sz w:val="24"/>
                <w:szCs w:val="24"/>
              </w:rPr>
              <w:t>Disposições Gerais</w:t>
            </w:r>
          </w:p>
        </w:tc>
      </w:tr>
    </w:tbl>
    <w:p>
      <w:pPr>
        <w:pStyle w:val="Normal"/>
        <w:tabs>
          <w:tab w:val="clear" w:pos="709"/>
          <w:tab w:val="left" w:pos="0" w:leader="none"/>
        </w:tabs>
        <w:ind w:firstLine="1134"/>
        <w:jc w:val="both"/>
        <w:rPr>
          <w:rFonts w:ascii="Arial Narrow" w:hAnsi="Arial Narrow"/>
          <w:sz w:val="24"/>
          <w:szCs w:val="24"/>
          <w:lang w:eastAsia="zh-CN"/>
        </w:rPr>
      </w:pPr>
      <w:r>
        <w:rPr>
          <w:rFonts w:ascii="Arial Narrow" w:hAnsi="Arial Narrow"/>
          <w:sz w:val="24"/>
          <w:szCs w:val="24"/>
          <w:lang w:eastAsia="zh-CN"/>
        </w:rPr>
      </w:r>
    </w:p>
    <w:p>
      <w:pPr>
        <w:pStyle w:val="Ttulo2"/>
        <w:numPr>
          <w:ilvl w:val="1"/>
          <w:numId w:val="4"/>
        </w:numPr>
        <w:ind w:left="576" w:hanging="576"/>
        <w:jc w:val="center"/>
        <w:rPr>
          <w:rFonts w:ascii="Arial Narrow" w:hAnsi="Arial Narrow"/>
          <w:sz w:val="24"/>
          <w:szCs w:val="24"/>
        </w:rPr>
      </w:pPr>
      <w:r>
        <w:rPr>
          <w:rFonts w:cs="Arial" w:ascii="Arial Narrow" w:hAnsi="Arial Narrow"/>
          <w:sz w:val="24"/>
          <w:szCs w:val="24"/>
          <w:u w:val="single"/>
        </w:rPr>
        <w:t>I - DAS METAS FISCAIS</w:t>
      </w:r>
    </w:p>
    <w:p>
      <w:pPr>
        <w:pStyle w:val="Normal"/>
        <w:tabs>
          <w:tab w:val="clear" w:pos="709"/>
          <w:tab w:val="left" w:pos="342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2160" w:leader="none"/>
        </w:tabs>
        <w:ind w:firstLine="1134"/>
        <w:jc w:val="both"/>
        <w:rPr>
          <w:rFonts w:ascii="Arial Narrow" w:hAnsi="Arial Narrow"/>
          <w:sz w:val="24"/>
          <w:szCs w:val="24"/>
        </w:rPr>
      </w:pPr>
      <w:r>
        <w:rPr>
          <w:rFonts w:cs="Arial" w:ascii="Arial Narrow" w:hAnsi="Arial Narrow"/>
          <w:b/>
          <w:sz w:val="24"/>
          <w:szCs w:val="24"/>
        </w:rPr>
        <w:t xml:space="preserve">Art. 2º </w:t>
      </w:r>
      <w:r>
        <w:rPr>
          <w:rFonts w:cs="Arial" w:ascii="Arial Narrow" w:hAnsi="Arial Narrow"/>
          <w:sz w:val="24"/>
          <w:szCs w:val="24"/>
        </w:rPr>
        <w:t>- Em cumprimento ao estabelecido no artigo 4º da Lei Complementar nº. 101, de 04 de maio de 2000, as metas fiscais de receitas, despesas, resultado primário, resultado nominal e montante da dívida pública para o exercício de 2024 estão identificados nos Demonstrativos em anexos desta Lei, em conformidade com a Portaria nº. 637, de 18 de outubro de 2012-STN.</w:t>
      </w:r>
    </w:p>
    <w:p>
      <w:pPr>
        <w:pStyle w:val="Normal"/>
        <w:tabs>
          <w:tab w:val="clear" w:pos="709"/>
          <w:tab w:val="left" w:pos="3420" w:leader="none"/>
        </w:tabs>
        <w:jc w:val="both"/>
        <w:rPr>
          <w:rFonts w:ascii="Arial Narrow" w:hAnsi="Arial Narrow" w:eastAsia="Arial" w:cs="Arial"/>
          <w:b/>
          <w:b/>
          <w:sz w:val="24"/>
          <w:szCs w:val="24"/>
        </w:rPr>
      </w:pPr>
      <w:r>
        <w:rPr>
          <w:rFonts w:eastAsia="Arial" w:cs="Arial" w:ascii="Arial Narrow" w:hAnsi="Arial Narrow"/>
          <w:b/>
          <w:sz w:val="24"/>
          <w:szCs w:val="24"/>
        </w:rPr>
        <w:t xml:space="preserve">                </w:t>
      </w:r>
    </w:p>
    <w:p>
      <w:pPr>
        <w:pStyle w:val="Normal"/>
        <w:tabs>
          <w:tab w:val="clear" w:pos="709"/>
          <w:tab w:val="left" w:pos="3420" w:leader="none"/>
        </w:tabs>
        <w:jc w:val="both"/>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Art. 3º</w:t>
      </w:r>
      <w:r>
        <w:rPr>
          <w:rFonts w:cs="Arial" w:ascii="Arial Narrow" w:hAnsi="Arial Narrow"/>
          <w:sz w:val="24"/>
          <w:szCs w:val="24"/>
        </w:rPr>
        <w:t xml:space="preserve"> - A Lei Orçamentária Anual abrangerá as Entidades da Administração Direta (Poder Executivo e Legislativo), que recebem recursos do Orçamento Fiscal.</w:t>
      </w:r>
    </w:p>
    <w:p>
      <w:pPr>
        <w:pStyle w:val="Normal"/>
        <w:tabs>
          <w:tab w:val="clear" w:pos="709"/>
          <w:tab w:val="left" w:pos="2160" w:leader="none"/>
        </w:tabs>
        <w:ind w:firstLine="1134"/>
        <w:jc w:val="both"/>
        <w:rPr>
          <w:rFonts w:ascii="Arial Narrow" w:hAnsi="Arial Narrow"/>
          <w:sz w:val="24"/>
          <w:szCs w:val="24"/>
        </w:rPr>
      </w:pPr>
      <w:r>
        <w:rPr>
          <w:rFonts w:ascii="Arial Narrow" w:hAnsi="Arial Narrow"/>
          <w:sz w:val="24"/>
          <w:szCs w:val="24"/>
        </w:rPr>
      </w:r>
    </w:p>
    <w:p>
      <w:pPr>
        <w:pStyle w:val="Normal"/>
        <w:tabs>
          <w:tab w:val="clear" w:pos="709"/>
          <w:tab w:val="left" w:pos="2160" w:leader="none"/>
        </w:tabs>
        <w:ind w:firstLine="1134"/>
        <w:jc w:val="both"/>
        <w:rPr>
          <w:rFonts w:ascii="Arial Narrow" w:hAnsi="Arial Narrow"/>
          <w:sz w:val="24"/>
          <w:szCs w:val="24"/>
        </w:rPr>
      </w:pPr>
      <w:r>
        <w:rPr>
          <w:rFonts w:cs="Arial" w:ascii="Arial Narrow" w:hAnsi="Arial Narrow"/>
          <w:b/>
          <w:sz w:val="24"/>
          <w:szCs w:val="24"/>
        </w:rPr>
        <w:t>Art. 4º</w:t>
      </w:r>
      <w:r>
        <w:rPr>
          <w:rFonts w:cs="Arial" w:ascii="Arial Narrow" w:hAnsi="Arial Narrow"/>
          <w:sz w:val="24"/>
          <w:szCs w:val="24"/>
        </w:rPr>
        <w:t xml:space="preserve"> - Os Anexos de Metas Fiscais referidos no Art. 2º desta Lei constituem-se dos seguintes:</w:t>
      </w:r>
    </w:p>
    <w:tbl>
      <w:tblPr>
        <w:tblW w:w="947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552"/>
        <w:gridCol w:w="6922"/>
      </w:tblGrid>
      <w:tr>
        <w:trPr/>
        <w:tc>
          <w:tcPr>
            <w:tcW w:w="2552" w:type="dxa"/>
            <w:tcBorders>
              <w:top w:val="single" w:sz="4" w:space="0" w:color="000000"/>
              <w:left w:val="single" w:sz="4" w:space="0" w:color="000000"/>
              <w:bottom w:val="single" w:sz="4" w:space="0" w:color="000000"/>
            </w:tcBorders>
            <w:vAlign w:val="center"/>
          </w:tcPr>
          <w:p>
            <w:pPr>
              <w:pStyle w:val="Normal"/>
              <w:widowControl w:val="false"/>
              <w:tabs>
                <w:tab w:val="clear" w:pos="709"/>
                <w:tab w:val="left" w:pos="2160" w:leader="none"/>
              </w:tabs>
              <w:snapToGrid w:val="false"/>
              <w:spacing w:before="0" w:after="160"/>
              <w:ind w:firstLine="34"/>
              <w:rPr>
                <w:rFonts w:ascii="Arial Narrow" w:hAnsi="Arial Narrow"/>
                <w:sz w:val="24"/>
                <w:szCs w:val="24"/>
              </w:rPr>
            </w:pPr>
            <w:r>
              <w:rPr>
                <w:rFonts w:cs="Arial" w:ascii="Arial Narrow" w:hAnsi="Arial Narrow"/>
                <w:sz w:val="24"/>
                <w:szCs w:val="24"/>
              </w:rPr>
              <w:t>Demonstrativo 1</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 xml:space="preserve">Metas Anuais. </w:t>
            </w:r>
          </w:p>
        </w:tc>
      </w:tr>
      <w:tr>
        <w:trPr/>
        <w:tc>
          <w:tcPr>
            <w:tcW w:w="2552" w:type="dxa"/>
            <w:tcBorders>
              <w:top w:val="single" w:sz="4" w:space="0" w:color="000000"/>
              <w:left w:val="single" w:sz="4" w:space="0" w:color="000000"/>
              <w:bottom w:val="single" w:sz="4" w:space="0" w:color="000000"/>
            </w:tcBorders>
          </w:tcPr>
          <w:p>
            <w:pPr>
              <w:pStyle w:val="Normal"/>
              <w:widowControl w:val="false"/>
              <w:spacing w:before="0" w:after="160"/>
              <w:rPr>
                <w:rFonts w:ascii="Arial Narrow" w:hAnsi="Arial Narrow"/>
                <w:sz w:val="24"/>
                <w:szCs w:val="24"/>
              </w:rPr>
            </w:pPr>
            <w:r>
              <w:rPr>
                <w:rFonts w:cs="Arial" w:ascii="Arial Narrow" w:hAnsi="Arial Narrow"/>
                <w:sz w:val="24"/>
                <w:szCs w:val="24"/>
              </w:rPr>
              <w:t>Demonstrativo 2</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Avaliação do Cumprimento das Metas Fiscais do Exercício Anterior.</w:t>
            </w:r>
          </w:p>
        </w:tc>
      </w:tr>
      <w:tr>
        <w:trPr/>
        <w:tc>
          <w:tcPr>
            <w:tcW w:w="2552" w:type="dxa"/>
            <w:tcBorders>
              <w:top w:val="single" w:sz="4" w:space="0" w:color="000000"/>
              <w:left w:val="single" w:sz="4" w:space="0" w:color="000000"/>
              <w:bottom w:val="single" w:sz="4" w:space="0" w:color="000000"/>
            </w:tcBorders>
          </w:tcPr>
          <w:p>
            <w:pPr>
              <w:pStyle w:val="Normal"/>
              <w:widowControl w:val="false"/>
              <w:spacing w:before="0" w:after="160"/>
              <w:rPr>
                <w:rFonts w:ascii="Arial Narrow" w:hAnsi="Arial Narrow"/>
                <w:sz w:val="24"/>
                <w:szCs w:val="24"/>
              </w:rPr>
            </w:pPr>
            <w:r>
              <w:rPr>
                <w:rFonts w:cs="Arial" w:ascii="Arial Narrow" w:hAnsi="Arial Narrow"/>
                <w:sz w:val="24"/>
                <w:szCs w:val="24"/>
              </w:rPr>
              <w:t>Demonstrativo 3</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Metas Fiscais Atuais Comparadas com as Fixadas nos Três Exercícios Anteriores.</w:t>
            </w:r>
          </w:p>
        </w:tc>
      </w:tr>
      <w:tr>
        <w:trPr/>
        <w:tc>
          <w:tcPr>
            <w:tcW w:w="2552" w:type="dxa"/>
            <w:tcBorders>
              <w:top w:val="single" w:sz="4" w:space="0" w:color="000000"/>
              <w:left w:val="single" w:sz="4" w:space="0" w:color="000000"/>
              <w:bottom w:val="single" w:sz="4" w:space="0" w:color="000000"/>
            </w:tcBorders>
          </w:tcPr>
          <w:p>
            <w:pPr>
              <w:pStyle w:val="Normal"/>
              <w:widowControl w:val="false"/>
              <w:spacing w:before="0" w:after="160"/>
              <w:rPr>
                <w:rFonts w:ascii="Arial Narrow" w:hAnsi="Arial Narrow"/>
                <w:sz w:val="24"/>
                <w:szCs w:val="24"/>
              </w:rPr>
            </w:pPr>
            <w:r>
              <w:rPr>
                <w:rFonts w:cs="Arial" w:ascii="Arial Narrow" w:hAnsi="Arial Narrow"/>
                <w:sz w:val="24"/>
                <w:szCs w:val="24"/>
              </w:rPr>
              <w:t>Demonstrativo 4</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Evolução do Patrimônio Líquido.</w:t>
            </w:r>
          </w:p>
        </w:tc>
      </w:tr>
      <w:tr>
        <w:trPr/>
        <w:tc>
          <w:tcPr>
            <w:tcW w:w="2552" w:type="dxa"/>
            <w:tcBorders>
              <w:top w:val="single" w:sz="4" w:space="0" w:color="000000"/>
              <w:left w:val="single" w:sz="4" w:space="0" w:color="000000"/>
              <w:bottom w:val="single" w:sz="4" w:space="0" w:color="000000"/>
            </w:tcBorders>
          </w:tcPr>
          <w:p>
            <w:pPr>
              <w:pStyle w:val="Normal"/>
              <w:widowControl w:val="false"/>
              <w:spacing w:before="0" w:after="160"/>
              <w:rPr>
                <w:rFonts w:ascii="Arial Narrow" w:hAnsi="Arial Narrow"/>
                <w:sz w:val="24"/>
                <w:szCs w:val="24"/>
              </w:rPr>
            </w:pPr>
            <w:r>
              <w:rPr>
                <w:rFonts w:cs="Arial" w:ascii="Arial Narrow" w:hAnsi="Arial Narrow"/>
                <w:sz w:val="24"/>
                <w:szCs w:val="24"/>
              </w:rPr>
              <w:t>Demonstrativo 5</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Origem e Aplicação dos Recursos Obtidos com a Alienação de Ativos.</w:t>
            </w:r>
          </w:p>
        </w:tc>
      </w:tr>
      <w:tr>
        <w:trPr/>
        <w:tc>
          <w:tcPr>
            <w:tcW w:w="2552" w:type="dxa"/>
            <w:tcBorders>
              <w:top w:val="single" w:sz="4" w:space="0" w:color="000000"/>
              <w:left w:val="single" w:sz="4" w:space="0" w:color="000000"/>
              <w:bottom w:val="single" w:sz="4" w:space="0" w:color="000000"/>
            </w:tcBorders>
          </w:tcPr>
          <w:p>
            <w:pPr>
              <w:pStyle w:val="Normal"/>
              <w:widowControl w:val="false"/>
              <w:spacing w:before="0" w:after="160"/>
              <w:rPr>
                <w:rFonts w:ascii="Arial Narrow" w:hAnsi="Arial Narrow"/>
                <w:sz w:val="24"/>
                <w:szCs w:val="24"/>
              </w:rPr>
            </w:pPr>
            <w:r>
              <w:rPr>
                <w:rFonts w:cs="Arial" w:ascii="Arial Narrow" w:hAnsi="Arial Narrow"/>
                <w:sz w:val="24"/>
                <w:szCs w:val="24"/>
              </w:rPr>
              <w:t>Demonstrativo 7</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Estimativa e Compensação da Renúncia de Receita.</w:t>
            </w:r>
          </w:p>
        </w:tc>
      </w:tr>
      <w:tr>
        <w:trPr/>
        <w:tc>
          <w:tcPr>
            <w:tcW w:w="2552" w:type="dxa"/>
            <w:tcBorders>
              <w:top w:val="single" w:sz="4" w:space="0" w:color="000000"/>
              <w:left w:val="single" w:sz="4" w:space="0" w:color="000000"/>
              <w:bottom w:val="single" w:sz="4" w:space="0" w:color="000000"/>
            </w:tcBorders>
          </w:tcPr>
          <w:p>
            <w:pPr>
              <w:pStyle w:val="Normal"/>
              <w:widowControl w:val="false"/>
              <w:spacing w:before="0" w:after="160"/>
              <w:rPr>
                <w:rFonts w:ascii="Arial Narrow" w:hAnsi="Arial Narrow"/>
                <w:sz w:val="24"/>
                <w:szCs w:val="24"/>
              </w:rPr>
            </w:pPr>
            <w:r>
              <w:rPr>
                <w:rFonts w:cs="Arial" w:ascii="Arial Narrow" w:hAnsi="Arial Narrow"/>
                <w:sz w:val="24"/>
                <w:szCs w:val="24"/>
              </w:rPr>
              <w:t>Demonstrativo 8</w:t>
            </w:r>
          </w:p>
        </w:tc>
        <w:tc>
          <w:tcPr>
            <w:tcW w:w="6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160" w:leader="none"/>
              </w:tabs>
              <w:snapToGrid w:val="false"/>
              <w:spacing w:before="0" w:after="160"/>
              <w:rPr>
                <w:rFonts w:ascii="Arial Narrow" w:hAnsi="Arial Narrow"/>
                <w:sz w:val="24"/>
                <w:szCs w:val="24"/>
              </w:rPr>
            </w:pPr>
            <w:r>
              <w:rPr>
                <w:rFonts w:cs="Arial" w:ascii="Arial Narrow" w:hAnsi="Arial Narrow"/>
                <w:sz w:val="24"/>
                <w:szCs w:val="24"/>
              </w:rPr>
              <w:t>Margem de Expansão das Despesas Obrigatórias de Caráter Continuado.</w:t>
            </w:r>
          </w:p>
        </w:tc>
      </w:tr>
    </w:tbl>
    <w:p>
      <w:pPr>
        <w:pStyle w:val="Ttulo2"/>
        <w:numPr>
          <w:ilvl w:val="1"/>
          <w:numId w:val="1"/>
        </w:numPr>
        <w:ind w:left="576" w:hanging="576"/>
        <w:jc w:val="center"/>
        <w:rPr>
          <w:rFonts w:ascii="Arial Narrow" w:hAnsi="Arial Narrow"/>
          <w:sz w:val="24"/>
          <w:szCs w:val="24"/>
        </w:rPr>
      </w:pPr>
      <w:r>
        <w:rPr>
          <w:rFonts w:cs="Arial" w:ascii="Arial Narrow" w:hAnsi="Arial Narrow"/>
          <w:sz w:val="24"/>
          <w:szCs w:val="24"/>
          <w:u w:val="single"/>
        </w:rPr>
        <w:t>II – DOS RISCOS FISCAIS</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2160" w:leader="none"/>
        </w:tabs>
        <w:ind w:firstLine="1134"/>
        <w:jc w:val="both"/>
        <w:rPr>
          <w:rFonts w:ascii="Arial Narrow" w:hAnsi="Arial Narrow"/>
          <w:sz w:val="24"/>
          <w:szCs w:val="24"/>
        </w:rPr>
      </w:pPr>
      <w:r>
        <w:rPr>
          <w:rFonts w:cs="Arial" w:ascii="Arial Narrow" w:hAnsi="Arial Narrow"/>
          <w:b/>
          <w:sz w:val="24"/>
          <w:szCs w:val="24"/>
        </w:rPr>
        <w:t>Art. 5º</w:t>
      </w:r>
      <w:r>
        <w:rPr>
          <w:rFonts w:cs="Arial" w:ascii="Arial Narrow" w:hAnsi="Arial Narrow"/>
          <w:sz w:val="24"/>
          <w:szCs w:val="24"/>
        </w:rPr>
        <w:t xml:space="preserve"> - Em cumprimento ao estabelecido no § 1º do artigo 4º da Lei Complementar nº. 101, de 04 de maio de 2000, o Anexo de Riscos Fiscais é identificado através do Demonstrativo de Riscos Fiscais e Providências, integrante desta Lei, em conformidade com a Portaria nº. 637, de 18 de outubro de 2012-STN.</w:t>
      </w:r>
    </w:p>
    <w:p>
      <w:pPr>
        <w:pStyle w:val="Ttulo2"/>
        <w:numPr>
          <w:ilvl w:val="1"/>
          <w:numId w:val="1"/>
        </w:numPr>
        <w:ind w:left="576" w:hanging="576"/>
        <w:jc w:val="center"/>
        <w:rPr>
          <w:rFonts w:ascii="Arial Narrow" w:hAnsi="Arial Narrow"/>
          <w:sz w:val="24"/>
          <w:szCs w:val="24"/>
        </w:rPr>
      </w:pPr>
      <w:r>
        <w:rPr>
          <w:rFonts w:cs="Arial" w:ascii="Arial Narrow" w:hAnsi="Arial Narrow"/>
          <w:sz w:val="24"/>
          <w:szCs w:val="24"/>
          <w:u w:val="single"/>
        </w:rPr>
        <w:t>III – MEMÓRIA E METODOLOGIAS DE CÁLCULOS DE METAS FISCAIS</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sz w:val="24"/>
          <w:szCs w:val="24"/>
        </w:rPr>
      </w:pPr>
      <w:r>
        <w:rPr>
          <w:rFonts w:cs="Arial" w:ascii="Arial Narrow" w:hAnsi="Arial Narrow"/>
          <w:b/>
          <w:sz w:val="24"/>
          <w:szCs w:val="24"/>
        </w:rPr>
        <w:t>Art. 6º</w:t>
      </w:r>
      <w:r>
        <w:rPr>
          <w:rFonts w:cs="Arial" w:ascii="Arial Narrow" w:hAnsi="Arial Narrow"/>
          <w:sz w:val="24"/>
          <w:szCs w:val="24"/>
        </w:rPr>
        <w:t xml:space="preserve"> - O § 2º, inciso II, do Art. 4º, da LRF, determina que o demonstrativo de Metas Anuais seja instruído com memória e metodologia de cálculo que justifiquem os resultados pretendidos e evidenciando a consistência delas com as premissas e os objetivos da política econômica nacional, os quais estão identificados nos anexos I, II e III desta Lei.</w:t>
      </w:r>
    </w:p>
    <w:p>
      <w:pPr>
        <w:pStyle w:val="Ttulo2"/>
        <w:tabs>
          <w:tab w:val="clear" w:pos="709"/>
          <w:tab w:val="left" w:pos="708" w:leader="none"/>
        </w:tabs>
        <w:ind w:left="576" w:hanging="576"/>
        <w:jc w:val="center"/>
        <w:rPr>
          <w:rFonts w:ascii="Arial Narrow" w:hAnsi="Arial Narrow" w:cs="Arial"/>
          <w:sz w:val="24"/>
          <w:szCs w:val="24"/>
          <w:u w:val="single"/>
        </w:rPr>
      </w:pPr>
      <w:r>
        <w:rPr>
          <w:rFonts w:cs="Arial" w:ascii="Arial Narrow" w:hAnsi="Arial Narrow"/>
          <w:sz w:val="24"/>
          <w:szCs w:val="24"/>
          <w:u w:val="single"/>
        </w:rPr>
      </w:r>
    </w:p>
    <w:p>
      <w:pPr>
        <w:pStyle w:val="Ttulo2"/>
        <w:numPr>
          <w:ilvl w:val="1"/>
          <w:numId w:val="1"/>
        </w:numPr>
        <w:ind w:left="576" w:hanging="576"/>
        <w:jc w:val="center"/>
        <w:rPr>
          <w:rFonts w:ascii="Arial Narrow" w:hAnsi="Arial Narrow"/>
          <w:sz w:val="24"/>
          <w:szCs w:val="24"/>
          <w:lang w:val="x-none"/>
        </w:rPr>
      </w:pPr>
      <w:r>
        <w:rPr>
          <w:rFonts w:cs="Arial" w:ascii="Arial Narrow" w:hAnsi="Arial Narrow"/>
          <w:sz w:val="24"/>
          <w:szCs w:val="24"/>
          <w:u w:val="single"/>
        </w:rPr>
        <w:t>IV - DAS PRIORIDADES MUNICIPAIS</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sz w:val="24"/>
          <w:szCs w:val="24"/>
        </w:rPr>
      </w:pPr>
      <w:r>
        <w:rPr>
          <w:rFonts w:eastAsia="Arial" w:cs="Arial" w:ascii="Arial Narrow" w:hAnsi="Arial Narrow"/>
          <w:sz w:val="24"/>
          <w:szCs w:val="24"/>
          <w:lang w:val="x-none"/>
        </w:rPr>
        <w:t xml:space="preserve"> </w:t>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7º</w:t>
      </w:r>
      <w:r>
        <w:rPr>
          <w:rFonts w:cs="Arial" w:ascii="Arial Narrow" w:hAnsi="Arial Narrow"/>
          <w:sz w:val="24"/>
          <w:szCs w:val="24"/>
        </w:rPr>
        <w:t xml:space="preserve"> - As prioridades e metas do Executivo e Legislativo Municipal, para o exercício financeiro de 2024 devidamente constituídas em programas/ações físico-financeiras serão definidas e demonstradas no Plano Plurianual de 2022 a 2025, compatíveis com os objetivos e normas estabelecidas nesta lei.</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 1º - Os recursos projetados na Lei Orçamentária para 2024 serão destinados, preferencialmente, para as prioridades e metas estabelecidas nos Anexos do Plano Plurianual, não se constituindo, todavia, em limite à programação das despesas.</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 xml:space="preserve">§ 2º - Na elaboração da proposta orçamentária para 2024, as Entidades citadas no Art. 8º desta Lei, poderão aumentar ou diminuir as metas estabelecidas nesta Lei, a fim de compatibilizar a despesa fixada à receita projetada, de forma a preservar o equilíbrio das contas públicas. Assim ocorrendo alterações, serão enviados para substituições os anexos alterados integrantes desta lei. </w:t>
      </w:r>
    </w:p>
    <w:p>
      <w:pPr>
        <w:pStyle w:val="Corpodotexto"/>
        <w:rPr>
          <w:rFonts w:ascii="Arial Narrow" w:hAnsi="Arial Narrow" w:cs="Arial"/>
          <w:sz w:val="24"/>
          <w:szCs w:val="24"/>
        </w:rPr>
      </w:pPr>
      <w:r>
        <w:rPr>
          <w:rFonts w:cs="Arial" w:ascii="Arial Narrow" w:hAnsi="Arial Narrow"/>
          <w:sz w:val="24"/>
          <w:szCs w:val="24"/>
        </w:rPr>
      </w:r>
    </w:p>
    <w:p>
      <w:pPr>
        <w:pStyle w:val="Corpodotexto"/>
        <w:rPr>
          <w:rFonts w:ascii="Arial Narrow" w:hAnsi="Arial Narrow"/>
          <w:sz w:val="24"/>
          <w:szCs w:val="24"/>
        </w:rPr>
      </w:pPr>
      <w:r>
        <w:rPr>
          <w:rFonts w:eastAsia="Arial" w:cs="Arial" w:ascii="Arial Narrow" w:hAnsi="Arial Narrow"/>
          <w:sz w:val="24"/>
          <w:szCs w:val="24"/>
        </w:rPr>
        <w:t xml:space="preserve">                </w:t>
      </w:r>
      <w:r>
        <w:rPr>
          <w:rFonts w:cs="Arial" w:ascii="Arial Narrow" w:hAnsi="Arial Narrow"/>
          <w:sz w:val="24"/>
          <w:szCs w:val="24"/>
        </w:rPr>
        <w:t>§ 3º - Fica o Poder Executivo autorizado mediante ato de decreto, efetuar alterações para fins de compatibilização orçamentária diante dos ajustes de recursos financeiros alocados e decorrentes da abertura de créditos adicionais regularmente autorizados pelo Legislativo Municipal.</w:t>
      </w:r>
    </w:p>
    <w:p>
      <w:pPr>
        <w:pStyle w:val="Normal"/>
        <w:rPr>
          <w:rFonts w:ascii="Arial Narrow" w:hAnsi="Arial Narrow" w:cs="Arial"/>
          <w:sz w:val="24"/>
          <w:szCs w:val="24"/>
        </w:rPr>
      </w:pPr>
      <w:r>
        <w:rPr>
          <w:rFonts w:cs="Arial" w:ascii="Arial Narrow" w:hAnsi="Arial Narrow"/>
          <w:sz w:val="24"/>
          <w:szCs w:val="24"/>
        </w:rPr>
      </w:r>
    </w:p>
    <w:p>
      <w:pPr>
        <w:pStyle w:val="Ttulo2"/>
        <w:numPr>
          <w:ilvl w:val="1"/>
          <w:numId w:val="1"/>
        </w:numPr>
        <w:ind w:left="576" w:hanging="576"/>
        <w:jc w:val="center"/>
        <w:rPr>
          <w:rFonts w:ascii="Arial Narrow" w:hAnsi="Arial Narrow"/>
          <w:sz w:val="24"/>
          <w:szCs w:val="24"/>
        </w:rPr>
      </w:pPr>
      <w:r>
        <w:rPr>
          <w:rFonts w:cs="Arial" w:ascii="Arial Narrow" w:hAnsi="Arial Narrow"/>
          <w:sz w:val="24"/>
          <w:szCs w:val="24"/>
          <w:u w:val="single"/>
        </w:rPr>
        <w:t>V - DA ESTRUTURA DOS ORÇAMENTOS</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8º</w:t>
      </w:r>
      <w:r>
        <w:rPr>
          <w:rFonts w:cs="Arial" w:ascii="Arial Narrow" w:hAnsi="Arial Narrow"/>
          <w:sz w:val="24"/>
          <w:szCs w:val="24"/>
        </w:rPr>
        <w:t xml:space="preserve"> - O orçamento para o exercício financeiro de 2024, abrangerá as Entidades da Administração Direta (Poder Executivo e Legislativo) que recebem recursos do Tesouro, o qual, será estruturado em conformidade com a Estrutura Organizacional estabelecida em cada Entidade da Administração Municipal.</w:t>
      </w:r>
    </w:p>
    <w:p>
      <w:pPr>
        <w:pStyle w:val="Normal"/>
        <w:tabs>
          <w:tab w:val="clear" w:pos="709"/>
          <w:tab w:val="left" w:pos="0" w:leader="none"/>
          <w:tab w:val="left" w:pos="36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9º</w:t>
      </w:r>
      <w:r>
        <w:rPr>
          <w:rFonts w:cs="Arial" w:ascii="Arial Narrow" w:hAnsi="Arial Narrow"/>
          <w:sz w:val="24"/>
          <w:szCs w:val="24"/>
        </w:rPr>
        <w:t xml:space="preserve"> - A Lei Orçamentária para 2024, evidenciará as Receitas e Despesas de cada uma das Unidades Gestoras, especificando aqueles vínculos a Fundos instituídos, desdobradas as despesas por função, subfunção, programa, projeto, atividade ou operações especiais e, quanto a sua natureza, por categoria econômica, grupo de natureza de despesa, modalidade de aplicação e elemento de despesa, tudo em conformidade com as Portarias SOF/STN 42/1999, 163/2001 e alterações.</w:t>
      </w:r>
    </w:p>
    <w:p>
      <w:pPr>
        <w:pStyle w:val="Normal"/>
        <w:tabs>
          <w:tab w:val="clear" w:pos="709"/>
          <w:tab w:val="left" w:pos="0" w:leader="none"/>
          <w:tab w:val="left" w:pos="540" w:leader="none"/>
          <w:tab w:val="left" w:pos="342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10</w:t>
      </w:r>
      <w:r>
        <w:rPr>
          <w:rFonts w:cs="Arial" w:ascii="Arial Narrow" w:hAnsi="Arial Narrow"/>
          <w:sz w:val="24"/>
          <w:szCs w:val="24"/>
        </w:rPr>
        <w:t xml:space="preserve"> - A Mensagem de Encaminhamento da Proposta Orçamentária de que trata o art. 22 da Lei Federal nº. 4.320/1964, conterá:</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 </w:t>
        <w:tab/>
        <w:t>- Quadro Demonstrativo da Despesa por Unidade Orçamentária e sua Participação Relativa (Princípio da Transparência, art. 48 da LRF);</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II</w:t>
        <w:tab/>
        <w:t>-</w:t>
        <w:tab/>
        <w:t>Quadro Demonstrativo da Evolução das Receitas Correntes Líquidas, Despesas com Pessoal e seu comprometimento, de 2022 a 2025 (art. 12 e 19 da LRF);</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III </w:t>
        <w:tab/>
        <w:t>-</w:t>
        <w:tab/>
        <w:t>Demonstrativo da Origem e Aplicação dos Recursos Vinculados a Manutenção e Desenvolvimento do Ensino (art. 212 E 212ª -   da Constituição Federal e Art. 69 da Lei Federal (14113/2020);</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IV </w:t>
        <w:tab/>
        <w:t xml:space="preserve">- </w:t>
        <w:tab/>
        <w:t>Demonstrativo dos Recursos Vinculados e Ações Públicas de Saúde (art. 7</w:t>
      </w:r>
      <w:r>
        <w:rPr>
          <w:rFonts w:cs="Arial" w:ascii="Arial Narrow" w:hAnsi="Arial Narrow"/>
          <w:b/>
          <w:sz w:val="24"/>
          <w:szCs w:val="24"/>
        </w:rPr>
        <w:t>º</w:t>
      </w:r>
      <w:r>
        <w:rPr>
          <w:rFonts w:cs="Arial" w:ascii="Arial Narrow" w:hAnsi="Arial Narrow"/>
          <w:sz w:val="24"/>
          <w:szCs w:val="24"/>
        </w:rPr>
        <w:t xml:space="preserve"> da LC 141/2012); e A Emenda Constitucional nº 29/2000.</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V </w:t>
        <w:tab/>
        <w:t xml:space="preserve">- </w:t>
        <w:tab/>
        <w:t>Demonstrativo da Composição do Ativo e Passivo Financeiro, posição semestre anterior ao encaminhamento da Proposta ao Legislativo – (Princípio da Transparência, art. 48 da LRF);</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VI </w:t>
        <w:tab/>
        <w:t>- Quadro Demonstrativo do Saldo da Dívida Fundada, com identificação dos Credores no encerramento do último semestre (Princípio da Transparência, art. 48 da LRF).</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cs="Arial"/>
          <w:sz w:val="24"/>
          <w:szCs w:val="24"/>
        </w:rPr>
      </w:pPr>
      <w:r>
        <w:rPr>
          <w:rFonts w:cs="Arial" w:ascii="Arial Narrow" w:hAnsi="Arial Narrow"/>
          <w:sz w:val="24"/>
          <w:szCs w:val="24"/>
        </w:rPr>
      </w:r>
    </w:p>
    <w:p>
      <w:pPr>
        <w:pStyle w:val="Ttulo2"/>
        <w:numPr>
          <w:ilvl w:val="1"/>
          <w:numId w:val="1"/>
        </w:numPr>
        <w:ind w:left="576" w:hanging="576"/>
        <w:jc w:val="center"/>
        <w:rPr>
          <w:rFonts w:ascii="Arial Narrow" w:hAnsi="Arial Narrow"/>
          <w:sz w:val="24"/>
          <w:szCs w:val="24"/>
        </w:rPr>
      </w:pPr>
      <w:r>
        <w:rPr>
          <w:rFonts w:cs="Arial" w:ascii="Arial Narrow" w:hAnsi="Arial Narrow"/>
          <w:sz w:val="24"/>
          <w:szCs w:val="24"/>
          <w:u w:val="single"/>
        </w:rPr>
        <w:t>VI - DAS DIRETRIZES PARA A ELABORAÇÃO E EXECUÇÃO DO ORÇAMENTO DO MUNICÍPIO</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2160" w:leader="none"/>
        </w:tabs>
        <w:ind w:firstLine="1134"/>
        <w:jc w:val="both"/>
        <w:rPr>
          <w:rFonts w:ascii="Arial Narrow" w:hAnsi="Arial Narrow"/>
          <w:sz w:val="24"/>
          <w:szCs w:val="24"/>
        </w:rPr>
      </w:pPr>
      <w:r>
        <w:rPr>
          <w:rFonts w:cs="Arial" w:ascii="Arial Narrow" w:hAnsi="Arial Narrow"/>
          <w:b/>
          <w:sz w:val="24"/>
          <w:szCs w:val="24"/>
        </w:rPr>
        <w:t>Art. 11</w:t>
      </w:r>
      <w:r>
        <w:rPr>
          <w:rFonts w:cs="Arial" w:ascii="Arial Narrow" w:hAnsi="Arial Narrow"/>
          <w:sz w:val="24"/>
          <w:szCs w:val="24"/>
        </w:rPr>
        <w:t xml:space="preserve"> - O Orçamento, obedecerá entre outros, ao princípio da transparência e do equilíbrio entre receitas e despesas, abrangendo os Poderes Legislativo e Executivo Municipal (art. 1º, § 1º, art. 4º, I, “a” e art. 48 LRF).</w:t>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12</w:t>
      </w:r>
      <w:r>
        <w:rPr>
          <w:rFonts w:cs="Arial" w:ascii="Arial Narrow" w:hAnsi="Arial Narrow"/>
          <w:sz w:val="24"/>
          <w:szCs w:val="24"/>
        </w:rPr>
        <w:t xml:space="preserve"> - Os estudos para definição dos Orçamentos da Receita, deverão observar os efeitos da alteração da legislação tributária, incentivos fiscais autorizados, a inflação do período, o crescimento econômico, ou o decréscimo a ampliação ou diminuição da base de cálculo dos tributos e a sua evolução nos últimos três exercícios e a projeção para os dois seguintes (art. 12 da LRF). </w:t>
      </w:r>
    </w:p>
    <w:p>
      <w:pPr>
        <w:pStyle w:val="Normal"/>
        <w:tabs>
          <w:tab w:val="clear" w:pos="709"/>
          <w:tab w:val="left" w:pos="0" w:leader="none"/>
          <w:tab w:val="left" w:pos="540" w:leader="none"/>
          <w:tab w:val="left" w:pos="3960" w:leader="none"/>
        </w:tabs>
        <w:ind w:firstLine="1134"/>
        <w:jc w:val="both"/>
        <w:rPr>
          <w:rFonts w:ascii="Arial Narrow" w:hAnsi="Arial Narrow" w:cs="Arial"/>
          <w:color w:val="FF0000"/>
          <w:sz w:val="24"/>
          <w:szCs w:val="24"/>
        </w:rPr>
      </w:pPr>
      <w:r>
        <w:rPr>
          <w:rFonts w:cs="Arial" w:ascii="Arial Narrow" w:hAnsi="Arial Narrow"/>
          <w:color w:val="FF0000"/>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13</w:t>
      </w:r>
      <w:r>
        <w:rPr>
          <w:rFonts w:cs="Arial" w:ascii="Arial Narrow" w:hAnsi="Arial Narrow"/>
          <w:sz w:val="24"/>
          <w:szCs w:val="24"/>
        </w:rPr>
        <w:t xml:space="preserve"> - Na execução do orçamento, verificado que o comportamento da receita poderá afetar o cumprimento das metas de resultado primário e nominal, os Poderes Legislativo e Executivo Municipal de forma proporcional as suas dotações e observada as fontes de recursos, adotarão o mecanismo de limitação de empenhos e movimentação financeira nos montantes necessários, para as dotações abaixo (art. 9º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I</w:t>
        <w:tab/>
        <w:t>-</w:t>
        <w:tab/>
        <w:t>Projetos ou atividades não vinculadas a recursos oriundos de transferências voluntárias;</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II</w:t>
        <w:tab/>
        <w:t>-</w:t>
        <w:tab/>
        <w:t>Obras em geral, desde que ainda não iniciadas;</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III</w:t>
        <w:tab/>
        <w:t>-</w:t>
        <w:tab/>
        <w:t>Dotação para combustíveis, obras, serviços públicos e agricultura; e,</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IV</w:t>
        <w:tab/>
        <w:t>-</w:t>
        <w:tab/>
        <w:t xml:space="preserve">Dotação para material de consumo e outros serviços de terceiros das diversas atividades. </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Parágrafo Único -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w:t>
      </w:r>
    </w:p>
    <w:p>
      <w:pPr>
        <w:pStyle w:val="Corpodotexto"/>
        <w:tabs>
          <w:tab w:val="left" w:pos="-567" w:leader="none"/>
          <w:tab w:val="left" w:pos="0" w:leader="none"/>
          <w:tab w:val="left" w:pos="2160" w:leader="none"/>
        </w:tabs>
        <w:ind w:firstLine="1134"/>
        <w:rPr>
          <w:rFonts w:ascii="Arial Narrow" w:hAnsi="Arial Narrow"/>
          <w:sz w:val="24"/>
          <w:szCs w:val="24"/>
        </w:rPr>
      </w:pPr>
      <w:r>
        <w:rPr>
          <w:rFonts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14</w:t>
      </w:r>
      <w:r>
        <w:rPr>
          <w:rFonts w:cs="Arial" w:ascii="Arial Narrow" w:hAnsi="Arial Narrow"/>
          <w:sz w:val="24"/>
          <w:szCs w:val="24"/>
        </w:rPr>
        <w:t xml:space="preserve"> - As Despesas Obrigatórias de Caráter Continuado em relação à Receita Corrente Líquida, programadas poderão ser expandidas em até 10,00%, tomando-se por base as Despesas Obrigatórias de Caráter Continuado fixadas na respectiva Lei Orçamentária Anual (art. 4º, § 2º da LRF), conforme demonstrado em Anexo desta Lei.</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2160" w:leader="none"/>
        </w:tabs>
        <w:ind w:firstLine="1134"/>
        <w:jc w:val="both"/>
        <w:rPr>
          <w:rFonts w:ascii="Arial Narrow" w:hAnsi="Arial Narrow"/>
          <w:sz w:val="24"/>
          <w:szCs w:val="24"/>
        </w:rPr>
      </w:pPr>
      <w:r>
        <w:rPr>
          <w:rFonts w:cs="Arial" w:ascii="Arial Narrow" w:hAnsi="Arial Narrow"/>
          <w:b/>
          <w:sz w:val="24"/>
          <w:szCs w:val="24"/>
        </w:rPr>
        <w:t>Art. 15</w:t>
      </w:r>
      <w:r>
        <w:rPr>
          <w:rFonts w:cs="Arial" w:ascii="Arial Narrow" w:hAnsi="Arial Narrow"/>
          <w:sz w:val="24"/>
          <w:szCs w:val="24"/>
        </w:rPr>
        <w:t xml:space="preserve"> - O Orçamento para o exercício de 2024, destinará recurso para a Reserva de Contingência, superior a 1,00% das Receitas Correntes Líquidas. (art. 5º, III da LRF).</w:t>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 1º -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e alterações (art. 5º III, “b” da LRF).</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 2º - Os recursos da Reserva de Contingência destinados a riscos fiscais, caso estes não se concretizem até o dia 01 de setembro de 2023, poderão ser utilizados por ato do Chefe do Poder Executivo Municipal para abertura de créditos adicionais suplementares de dotações que se tornaram insuficientes.</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16</w:t>
      </w:r>
      <w:r>
        <w:rPr>
          <w:rFonts w:cs="Arial" w:ascii="Arial Narrow" w:hAnsi="Arial Narrow"/>
          <w:sz w:val="24"/>
          <w:szCs w:val="24"/>
        </w:rPr>
        <w:t xml:space="preserve"> - Os investimentos com duração superior a 12 meses só constarão da Lei Orçamentária Anual se contemplados no Plano Plurianual (art. 5º, § 5º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17</w:t>
      </w:r>
      <w:r>
        <w:rPr>
          <w:rFonts w:cs="Arial" w:ascii="Arial Narrow" w:hAnsi="Arial Narrow"/>
          <w:sz w:val="24"/>
          <w:szCs w:val="24"/>
        </w:rPr>
        <w:t xml:space="preserve"> - A Chefe do Poder Executivo Municipal estabelecerá até 60 dias após a publicação da Lei Orçamentária Anual, a programação financeira das receitas e despesas e o cronograma de execução mensal para as Unidades Gestoras, se for o caso (art. 8º da LRF).</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18</w:t>
      </w:r>
      <w:r>
        <w:rPr>
          <w:rFonts w:cs="Arial" w:ascii="Arial Narrow" w:hAnsi="Arial Narrow"/>
          <w:sz w:val="24"/>
          <w:szCs w:val="24"/>
        </w:rPr>
        <w:t xml:space="preserve"> - Os Projetos e Atividades priorizados na Lei Orçamentária para 2024, com dotações vinculadas e fontes de recursos oriundos de transferências voluntárias, operações de crédito, alienação de bens e outras extraordinárias, só serão executados e utilizados os recursos se garantido o seu ingresso no fluxo de caixa, respeitado ainda o montante ingressado ou garantido (art. 8º, § único e 50, I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19</w:t>
      </w:r>
      <w:r>
        <w:rPr>
          <w:rFonts w:cs="Arial" w:ascii="Arial Narrow" w:hAnsi="Arial Narrow"/>
          <w:sz w:val="24"/>
          <w:szCs w:val="24"/>
        </w:rPr>
        <w:t xml:space="preserve"> - A renúncia de receita estimada para o exercício de 2024, constante do Anexo Próprio desta Lei, não será considerada para efeito de cálculo do orçamento da receita (art. 4º, § 2º, V e art. 14, I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20</w:t>
      </w:r>
      <w:r>
        <w:rPr>
          <w:rFonts w:cs="Arial" w:ascii="Arial Narrow" w:hAnsi="Arial Narrow"/>
          <w:sz w:val="24"/>
          <w:szCs w:val="24"/>
        </w:rPr>
        <w:t xml:space="preserve"> - As transferências de recursos do Tesouro Municipal a entidades privadas, beneficiará somente aquelas de caráter educativo, médica, assistencial, recreativo, cultural, esportivo, de cooperação técnica e voltada para o fortalecimento do associativismo municipal e dependerá de autorização em lei específica (art. 4º, I, “f” e 26 da LRF), exceto aquelas alcançadas pelas Leis Federais nº. 13.019 de 2014 e 13.204 de 2015 – marco regulatório do terceiro setor.</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21</w:t>
      </w:r>
      <w:r>
        <w:rPr>
          <w:rFonts w:cs="Arial" w:ascii="Arial Narrow" w:hAnsi="Arial Narrow"/>
          <w:sz w:val="24"/>
          <w:szCs w:val="24"/>
        </w:rPr>
        <w:t xml:space="preserve"> - Os procedimentos administrativos de estimativa do impacto orçamentário-financeiro e declaração do ordenador da despesa de que trata o art. 16, itens I e II da LRF deverão ser inseridos no processo que abriga os autos da licitação ou sua dispensa/inexigibilidade. </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Parágrafo Único - Para efeito do disposto no art. 16, § 3º da LRF, são consideradas despesas irrelevantes, aqueles decorrentes da criação, expansão ou aperfeiçoamento da ação governamental que acarrete aumento da despesa, cujo montante no exercício financeiro de 2024, em cada evento, não exceda ao valor limite para dispensa de licitação, fixados Lei nº. 8.666/1993, enquanto vigente, e Lei 14.133/2021 devidamente atualizado (art. 16, § 3º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22</w:t>
      </w:r>
      <w:r>
        <w:rPr>
          <w:rFonts w:cs="Arial" w:ascii="Arial Narrow" w:hAnsi="Arial Narrow"/>
          <w:sz w:val="24"/>
          <w:szCs w:val="24"/>
        </w:rPr>
        <w:t xml:space="preserve"> - As obras em andamento e a conservação do patrimônio público terão prioridade sobre projetos novos na alocação de recursos orçamentários, salvo projetos programados com recursos de transferência voluntária e operação de crédito (art. 45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Art. 23</w:t>
      </w:r>
      <w:r>
        <w:rPr>
          <w:rFonts w:cs="Arial" w:ascii="Arial Narrow" w:hAnsi="Arial Narrow"/>
          <w:sz w:val="24"/>
          <w:szCs w:val="24"/>
        </w:rPr>
        <w:t xml:space="preserve"> - Despesas de competência de outros entes da federação só serão assumidas pela Administração Municipal quando firmados convênios, acordos ou ajustes e previstos recursos na lei orçamentária (art. 62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Art. 24</w:t>
      </w:r>
      <w:r>
        <w:rPr>
          <w:rFonts w:cs="Arial" w:ascii="Arial Narrow" w:hAnsi="Arial Narrow"/>
          <w:sz w:val="24"/>
          <w:szCs w:val="24"/>
        </w:rPr>
        <w:t xml:space="preserve"> - A previsão das receitas e a fixação das despesas serão orçadas, a preços correntes.</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Normal"/>
        <w:ind w:firstLine="540"/>
        <w:jc w:val="both"/>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Art. 25</w:t>
      </w:r>
      <w:r>
        <w:rPr>
          <w:rFonts w:cs="Arial" w:ascii="Arial Narrow" w:hAnsi="Arial Narrow"/>
          <w:sz w:val="24"/>
          <w:szCs w:val="24"/>
        </w:rPr>
        <w:t xml:space="preserve"> - O Poder Executivo Municipal fica autorizado a abrir créditos adicionais suplementares até o limite de 20% (vinte por cento) do total da despesa fixada na Lei Orçamentária para o exercício financeiro de 2024, nos termos previstos no artigo 43, § 1º, da Lei Federal nº 4.320, de 17 de março de 1964.</w:t>
      </w:r>
    </w:p>
    <w:p>
      <w:pPr>
        <w:pStyle w:val="Corpodotexto"/>
        <w:tabs>
          <w:tab w:val="left" w:pos="-567" w:leader="none"/>
          <w:tab w:val="left" w:pos="2880" w:leader="none"/>
        </w:tabs>
        <w:ind w:firstLine="540"/>
        <w:rPr>
          <w:rFonts w:ascii="Arial Narrow" w:hAnsi="Arial Narrow" w:cs="Arial"/>
          <w:b/>
          <w:b/>
          <w:color w:val="000000"/>
          <w:sz w:val="24"/>
          <w:szCs w:val="24"/>
        </w:rPr>
      </w:pPr>
      <w:r>
        <w:rPr>
          <w:rFonts w:cs="Arial" w:ascii="Arial Narrow" w:hAnsi="Arial Narrow"/>
          <w:b/>
          <w:color w:val="000000"/>
          <w:sz w:val="24"/>
          <w:szCs w:val="24"/>
        </w:rPr>
      </w:r>
    </w:p>
    <w:p>
      <w:pPr>
        <w:pStyle w:val="Corpodotexto"/>
        <w:tabs>
          <w:tab w:val="left" w:pos="-567" w:leader="none"/>
          <w:tab w:val="left" w:pos="2880" w:leader="none"/>
        </w:tabs>
        <w:ind w:firstLine="540"/>
        <w:rPr>
          <w:rFonts w:ascii="Arial Narrow" w:hAnsi="Arial Narrow"/>
          <w:sz w:val="24"/>
          <w:szCs w:val="24"/>
        </w:rPr>
      </w:pPr>
      <w:r>
        <w:rPr>
          <w:rFonts w:eastAsia="Arial" w:cs="Arial" w:ascii="Arial Narrow" w:hAnsi="Arial Narrow"/>
          <w:b/>
          <w:color w:val="000000"/>
          <w:sz w:val="24"/>
          <w:szCs w:val="24"/>
        </w:rPr>
        <w:t xml:space="preserve">         </w:t>
      </w:r>
      <w:r>
        <w:rPr>
          <w:rFonts w:cs="Arial" w:ascii="Arial Narrow" w:hAnsi="Arial Narrow"/>
          <w:b/>
          <w:color w:val="000000"/>
          <w:sz w:val="24"/>
          <w:szCs w:val="24"/>
        </w:rPr>
        <w:t xml:space="preserve">Art. 26 - </w:t>
      </w:r>
      <w:r>
        <w:rPr>
          <w:rFonts w:cs="Arial" w:ascii="Arial Narrow" w:hAnsi="Arial Narrow"/>
          <w:color w:val="000000"/>
          <w:sz w:val="24"/>
          <w:szCs w:val="24"/>
        </w:rPr>
        <w:t xml:space="preserve">O Poder Executivo Municipal fica autorizado a proceder por Decreto, à inclusão nos elementos de despesas constantes da Lei Orçamentária do exercício financeiro de 2024, das receitas não utilizadas do exercício de 2023, a título de Superavit Financeiro de Recursos Vinculados e/ou de Recursos Livres, </w:t>
      </w:r>
      <w:r>
        <w:rPr>
          <w:rFonts w:cs="Arial" w:ascii="Arial Narrow" w:hAnsi="Arial Narrow"/>
          <w:sz w:val="24"/>
          <w:szCs w:val="24"/>
        </w:rPr>
        <w:t>nos termos previstos no artigo 43, § 1º, inciso I, da Lei Federal nº 4.320, de 17 de março de 1964.</w:t>
      </w:r>
    </w:p>
    <w:p>
      <w:pPr>
        <w:pStyle w:val="Corpodotexto"/>
        <w:rPr>
          <w:rFonts w:ascii="Arial Narrow" w:hAnsi="Arial Narrow" w:cs="Arial"/>
          <w:sz w:val="24"/>
          <w:szCs w:val="24"/>
        </w:rPr>
      </w:pPr>
      <w:r>
        <w:rPr>
          <w:rFonts w:cs="Arial" w:ascii="Arial Narrow" w:hAnsi="Arial Narrow"/>
          <w:sz w:val="24"/>
          <w:szCs w:val="24"/>
        </w:rPr>
      </w:r>
    </w:p>
    <w:p>
      <w:pPr>
        <w:pStyle w:val="Corpodotexto"/>
        <w:ind w:firstLine="540"/>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Art. 27</w:t>
      </w:r>
      <w:r>
        <w:rPr>
          <w:rFonts w:cs="Arial" w:ascii="Arial Narrow" w:hAnsi="Arial Narrow"/>
          <w:sz w:val="24"/>
          <w:szCs w:val="24"/>
        </w:rPr>
        <w:t xml:space="preserve"> - O Poder Executivo Municipal fica autorizado a proceder à suplementação de dotações orçamentárias pelo Excesso de Arrecadação efetivo ou tendência do exercício financeiro de 2024, sobre a previsão orçamentária original das receitas de fontes de recursos vinculados e/ou de fontes de recursos livres, nos termos previstos no artigo 43, § 1º, inciso II, da Lei Federal nº 4.320, de 17 de março de 1964.</w:t>
      </w:r>
    </w:p>
    <w:p>
      <w:pPr>
        <w:pStyle w:val="Corpodotexto"/>
        <w:rPr>
          <w:rFonts w:ascii="Arial Narrow" w:hAnsi="Arial Narrow"/>
          <w:sz w:val="24"/>
          <w:szCs w:val="24"/>
        </w:rPr>
      </w:pPr>
      <w:r>
        <w:rPr>
          <w:rFonts w:cs="Arial" w:ascii="Arial Narrow" w:hAnsi="Arial Narrow"/>
          <w:sz w:val="24"/>
          <w:szCs w:val="24"/>
        </w:rPr>
        <w:tab/>
        <w:tab/>
      </w:r>
    </w:p>
    <w:p>
      <w:pPr>
        <w:pStyle w:val="Corpodotexto"/>
        <w:ind w:firstLine="540"/>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 xml:space="preserve">Art. 28 – </w:t>
      </w:r>
      <w:r>
        <w:rPr>
          <w:rFonts w:cs="Arial" w:ascii="Arial Narrow" w:hAnsi="Arial Narrow"/>
          <w:sz w:val="24"/>
          <w:szCs w:val="24"/>
        </w:rPr>
        <w:t xml:space="preserve">O Poder Executivo Municipal fica autorizado a remanejar, nas respectivas categorias econômicas, os grupos de natureza de despesa correspondente a outras despesas correntes e investimentos em cada órgão orçamentário, referente à Lei Orçamentária de 2024, nos termos previstos no artigo 43, § 1º, inciso III, da Lei Federal nº 4.320, de 17 de março de 1964. </w:t>
      </w:r>
    </w:p>
    <w:p>
      <w:pPr>
        <w:pStyle w:val="Corpodotexto"/>
        <w:rPr>
          <w:rFonts w:ascii="Arial Narrow" w:hAnsi="Arial Narrow" w:cs="Arial"/>
          <w:sz w:val="24"/>
          <w:szCs w:val="24"/>
        </w:rPr>
      </w:pPr>
      <w:r>
        <w:rPr>
          <w:rFonts w:cs="Arial" w:ascii="Arial Narrow" w:hAnsi="Arial Narrow"/>
          <w:sz w:val="24"/>
          <w:szCs w:val="24"/>
        </w:rPr>
      </w:r>
    </w:p>
    <w:p>
      <w:pPr>
        <w:pStyle w:val="Corpodotexto"/>
        <w:rPr>
          <w:rFonts w:ascii="Arial Narrow" w:hAnsi="Arial Narrow"/>
          <w:sz w:val="24"/>
          <w:szCs w:val="24"/>
        </w:rPr>
      </w:pPr>
      <w:r>
        <w:rPr>
          <w:rFonts w:cs="Arial" w:ascii="Arial Narrow" w:hAnsi="Arial Narrow"/>
          <w:sz w:val="24"/>
          <w:szCs w:val="24"/>
        </w:rPr>
        <w:tab/>
        <w:t xml:space="preserve">      </w:t>
      </w:r>
      <w:r>
        <w:rPr>
          <w:rFonts w:cs="Arial" w:ascii="Arial Narrow" w:hAnsi="Arial Narrow"/>
          <w:b/>
          <w:sz w:val="24"/>
          <w:szCs w:val="24"/>
        </w:rPr>
        <w:t>Art. 29 -</w:t>
      </w:r>
      <w:r>
        <w:rPr>
          <w:rFonts w:cs="Arial" w:ascii="Arial Narrow" w:hAnsi="Arial Narrow"/>
          <w:sz w:val="24"/>
          <w:szCs w:val="24"/>
        </w:rPr>
        <w:t xml:space="preserve"> O Poder Executivo Municipal fica autorizado a proceder à redistribuição das dotações do grupo de natureza de despesas correspondente a pessoal e encargos sociais, em cada unidade orçamentária ou de uma para outra unidade, referente à Lei Orçamentária de 2024, nos termos previstos no artigo 43, § 1º, inciso III, e artigo 66 § único, da Lei Federal nº 4.320, de 17 de março de 1964.</w:t>
      </w:r>
    </w:p>
    <w:p>
      <w:pPr>
        <w:pStyle w:val="Corpodotexto"/>
        <w:ind w:firstLine="540"/>
        <w:rPr>
          <w:rFonts w:ascii="Arial Narrow" w:hAnsi="Arial Narrow"/>
          <w:sz w:val="24"/>
          <w:szCs w:val="24"/>
        </w:rPr>
      </w:pPr>
      <w:r>
        <w:rPr>
          <w:rFonts w:ascii="Arial Narrow" w:hAnsi="Arial Narrow"/>
          <w:sz w:val="24"/>
          <w:szCs w:val="24"/>
        </w:rPr>
      </w:r>
    </w:p>
    <w:p>
      <w:pPr>
        <w:pStyle w:val="Corpodotexto"/>
        <w:ind w:firstLine="540"/>
        <w:rPr>
          <w:rFonts w:ascii="Arial Narrow" w:hAnsi="Arial Narrow"/>
          <w:sz w:val="24"/>
          <w:szCs w:val="24"/>
        </w:rPr>
      </w:pPr>
      <w:r>
        <w:rPr>
          <w:rFonts w:eastAsia="Arial" w:cs="Arial" w:ascii="Arial Narrow" w:hAnsi="Arial Narrow"/>
          <w:b/>
          <w:bCs/>
          <w:color w:val="000000"/>
          <w:sz w:val="24"/>
          <w:szCs w:val="24"/>
        </w:rPr>
        <w:t xml:space="preserve">        </w:t>
      </w:r>
      <w:r>
        <w:rPr>
          <w:rFonts w:cs="Arial" w:ascii="Arial Narrow" w:hAnsi="Arial Narrow"/>
          <w:b/>
          <w:bCs/>
          <w:color w:val="000000"/>
          <w:sz w:val="24"/>
          <w:szCs w:val="24"/>
        </w:rPr>
        <w:t xml:space="preserve">Art. 30 - </w:t>
      </w:r>
      <w:r>
        <w:rPr>
          <w:rFonts w:cs="Arial" w:ascii="Arial Narrow" w:hAnsi="Arial Narrow"/>
          <w:bCs/>
          <w:color w:val="000000"/>
          <w:sz w:val="24"/>
          <w:szCs w:val="24"/>
        </w:rPr>
        <w:t xml:space="preserve">O Poder Executivo Municipal fica autorizado a proceder à suplementação das dotações destinadas aos programas com encargos especiais, correspondentes a encargos com ressarcimento de convênios, </w:t>
      </w:r>
      <w:r>
        <w:rPr>
          <w:rFonts w:cs="Arial" w:ascii="Arial Narrow" w:hAnsi="Arial Narrow"/>
          <w:sz w:val="24"/>
          <w:szCs w:val="24"/>
        </w:rPr>
        <w:t>referente à Lei Orçamentária de 2024,</w:t>
      </w:r>
      <w:r>
        <w:rPr>
          <w:rFonts w:cs="Arial" w:ascii="Arial Narrow" w:hAnsi="Arial Narrow"/>
          <w:bCs/>
          <w:color w:val="000000"/>
          <w:sz w:val="24"/>
          <w:szCs w:val="24"/>
        </w:rPr>
        <w:t xml:space="preserve"> </w:t>
      </w:r>
      <w:r>
        <w:rPr>
          <w:rFonts w:cs="Arial" w:ascii="Arial Narrow" w:hAnsi="Arial Narrow"/>
          <w:sz w:val="24"/>
          <w:szCs w:val="24"/>
        </w:rPr>
        <w:t>nos termos previstos no artigo 43, § 1º, inciso III, da Lei Federal nº 4.320, de 17 de março de 1964.</w:t>
      </w:r>
    </w:p>
    <w:p>
      <w:pPr>
        <w:pStyle w:val="Corpodotexto"/>
        <w:tabs>
          <w:tab w:val="left" w:pos="-567" w:leader="none"/>
          <w:tab w:val="left" w:pos="2880" w:leader="none"/>
        </w:tabs>
        <w:ind w:firstLine="540"/>
        <w:rPr>
          <w:rFonts w:ascii="Arial Narrow" w:hAnsi="Arial Narrow"/>
          <w:sz w:val="24"/>
          <w:szCs w:val="24"/>
        </w:rPr>
      </w:pPr>
      <w:r>
        <w:rPr>
          <w:rFonts w:eastAsia="Arial" w:cs="Arial" w:ascii="Arial Narrow" w:hAnsi="Arial Narrow"/>
          <w:b/>
          <w:color w:val="000000"/>
          <w:sz w:val="24"/>
          <w:szCs w:val="24"/>
        </w:rPr>
        <w:t xml:space="preserve">         </w:t>
      </w:r>
    </w:p>
    <w:p>
      <w:pPr>
        <w:pStyle w:val="Normal"/>
        <w:ind w:firstLine="540"/>
        <w:jc w:val="both"/>
        <w:rPr>
          <w:rFonts w:ascii="Arial Narrow" w:hAnsi="Arial Narrow"/>
          <w:sz w:val="24"/>
          <w:szCs w:val="24"/>
        </w:rPr>
      </w:pPr>
      <w:r>
        <w:rPr>
          <w:rFonts w:eastAsia="Arial" w:cs="Arial" w:ascii="Arial Narrow" w:hAnsi="Arial Narrow"/>
          <w:b/>
          <w:bCs/>
          <w:sz w:val="24"/>
          <w:szCs w:val="24"/>
        </w:rPr>
        <w:t xml:space="preserve">       </w:t>
      </w:r>
      <w:r>
        <w:rPr>
          <w:rFonts w:cs="Arial" w:ascii="Arial Narrow" w:hAnsi="Arial Narrow"/>
          <w:b/>
          <w:bCs/>
          <w:sz w:val="24"/>
          <w:szCs w:val="24"/>
        </w:rPr>
        <w:t>Art. 31</w:t>
      </w:r>
      <w:r>
        <w:rPr>
          <w:rFonts w:cs="Arial" w:ascii="Arial Narrow" w:hAnsi="Arial Narrow"/>
          <w:bCs/>
          <w:sz w:val="24"/>
          <w:szCs w:val="24"/>
        </w:rPr>
        <w:t xml:space="preserve"> - As suplementações, os remanejamentos e a redistribuição de dotações, conforme autorizações contidas nos artigos 26 a 30, não serão computados para os efeitos do limite estabelecido no art. 25 desta Lei.</w:t>
      </w:r>
    </w:p>
    <w:p>
      <w:pPr>
        <w:pStyle w:val="Normal"/>
        <w:ind w:firstLine="540"/>
        <w:jc w:val="both"/>
        <w:rPr>
          <w:rFonts w:ascii="Arial Narrow" w:hAnsi="Arial Narrow"/>
          <w:sz w:val="24"/>
          <w:szCs w:val="24"/>
        </w:rPr>
      </w:pPr>
      <w:r>
        <w:rPr>
          <w:rFonts w:eastAsia="Arial" w:cs="Arial" w:ascii="Arial Narrow" w:hAnsi="Arial Narrow"/>
          <w:b/>
          <w:sz w:val="24"/>
          <w:szCs w:val="24"/>
        </w:rPr>
        <w:t xml:space="preserve">      </w:t>
      </w:r>
      <w:r>
        <w:rPr>
          <w:rFonts w:cs="Arial" w:ascii="Arial Narrow" w:hAnsi="Arial Narrow"/>
          <w:b/>
          <w:sz w:val="24"/>
          <w:szCs w:val="24"/>
        </w:rPr>
        <w:t>Art. 32</w:t>
      </w:r>
      <w:r>
        <w:rPr>
          <w:rFonts w:cs="Arial" w:ascii="Arial Narrow" w:hAnsi="Arial Narrow"/>
          <w:sz w:val="24"/>
          <w:szCs w:val="24"/>
        </w:rPr>
        <w:t xml:space="preserve"> - A execução do orçamento da Despesa obedecerá, dentro de cada Projeto, Atividade ou Operações Especiais, a dotação fixada para cada Grupo de Natureza de Despesa e Modalidade de Aplicação, com apropriação dos gastos nos respectivos elementos de que trata a Portaria STN nº. 163/2001 e alterações.</w:t>
      </w:r>
    </w:p>
    <w:p>
      <w:pPr>
        <w:pStyle w:val="Corpodotexto"/>
        <w:tabs>
          <w:tab w:val="left" w:pos="-567" w:leader="none"/>
          <w:tab w:val="left" w:pos="0" w:leader="none"/>
          <w:tab w:val="left" w:pos="2160" w:leader="none"/>
        </w:tabs>
        <w:ind w:firstLine="851"/>
        <w:rPr>
          <w:rFonts w:ascii="Arial Narrow" w:hAnsi="Arial Narrow"/>
          <w:sz w:val="24"/>
          <w:szCs w:val="24"/>
        </w:rPr>
      </w:pPr>
      <w:r>
        <w:rPr>
          <w:rFonts w:cs="Arial" w:ascii="Arial Narrow" w:hAnsi="Arial Narrow"/>
          <w:b/>
          <w:sz w:val="24"/>
          <w:szCs w:val="24"/>
        </w:rPr>
        <w:t>Art. 33</w:t>
      </w:r>
      <w:r>
        <w:rPr>
          <w:rFonts w:cs="Arial" w:ascii="Arial Narrow" w:hAnsi="Arial Narrow"/>
          <w:sz w:val="24"/>
          <w:szCs w:val="24"/>
        </w:rPr>
        <w:t xml:space="preserve"> - Durante a execução orçamentária de 2024, o Poder Executivo Municipal, se autorizado por lei, poderá incluir novos projetos, atividades ou operações especiais no orçamento das Unidades Gestoras na forma de crédito especial, desde que se enquadre nas prioridades para o exercício de 2024, (art. 167, I da Constituição Federal).</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851"/>
        <w:rPr>
          <w:rFonts w:ascii="Arial Narrow" w:hAnsi="Arial Narrow"/>
          <w:sz w:val="24"/>
          <w:szCs w:val="24"/>
        </w:rPr>
      </w:pPr>
      <w:r>
        <w:rPr>
          <w:rFonts w:cs="Arial" w:ascii="Arial Narrow" w:hAnsi="Arial Narrow"/>
          <w:b/>
          <w:sz w:val="24"/>
          <w:szCs w:val="24"/>
        </w:rPr>
        <w:t>Art. 34</w:t>
      </w:r>
      <w:r>
        <w:rPr>
          <w:rFonts w:cs="Arial" w:ascii="Arial Narrow" w:hAnsi="Arial Narrow"/>
          <w:sz w:val="24"/>
          <w:szCs w:val="24"/>
        </w:rPr>
        <w:t xml:space="preserve"> - O controle de custos das ações desenvolvidas pelo Poder Público Municipal, obedecerá ao estabelecido no art. 50, § 3º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851"/>
        <w:rPr>
          <w:rFonts w:ascii="Arial Narrow" w:hAnsi="Arial Narrow"/>
          <w:sz w:val="24"/>
          <w:szCs w:val="24"/>
        </w:rPr>
      </w:pPr>
      <w:r>
        <w:rPr>
          <w:rFonts w:cs="Arial" w:ascii="Arial Narrow" w:hAnsi="Arial Narrow"/>
          <w:b/>
          <w:sz w:val="24"/>
          <w:szCs w:val="24"/>
        </w:rPr>
        <w:t>Art. 35</w:t>
      </w:r>
      <w:r>
        <w:rPr>
          <w:rFonts w:cs="Arial" w:ascii="Arial Narrow" w:hAnsi="Arial Narrow"/>
          <w:sz w:val="24"/>
          <w:szCs w:val="24"/>
        </w:rPr>
        <w:t xml:space="preserve"> - Os programas priorizados por esta Lei e contemplados no Plano Plurianual, que integrarem a Lei Orçamentária de 2024, serão objeto de avaliação permanente pelos responsáveis, de modo a acompanhar o cumprimento dos seus objetivos, corrigir desvios e avaliar seus custos e cumprimento das metas físicas estabelecidas (art. 4º, I, e,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Ttulo2"/>
        <w:numPr>
          <w:ilvl w:val="1"/>
          <w:numId w:val="1"/>
        </w:numPr>
        <w:ind w:left="576" w:hanging="576"/>
        <w:jc w:val="center"/>
        <w:rPr>
          <w:rFonts w:ascii="Arial Narrow" w:hAnsi="Arial Narrow"/>
          <w:sz w:val="24"/>
          <w:szCs w:val="24"/>
        </w:rPr>
      </w:pPr>
      <w:r>
        <w:rPr>
          <w:rFonts w:cs="Arial" w:ascii="Arial Narrow" w:hAnsi="Arial Narrow"/>
          <w:sz w:val="24"/>
          <w:szCs w:val="24"/>
          <w:u w:val="single"/>
        </w:rPr>
        <w:t>VII - DAS DISPOSIÇÕES SOBRE A DÍVIDA PÚBLICA MUNICIPAL</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36</w:t>
      </w:r>
      <w:r>
        <w:rPr>
          <w:rFonts w:cs="Arial" w:ascii="Arial Narrow" w:hAnsi="Arial Narrow"/>
          <w:sz w:val="24"/>
          <w:szCs w:val="24"/>
        </w:rPr>
        <w:t xml:space="preserve"> - A Lei Orçamentária de 2024, poderá conter autorização para contratação de Operações de Crédito para atendimento a Despesas de Capital, observado o limite de endividamento segundo disposições através de Resoluções do Senado Federal (art. 30, 31 e 32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37</w:t>
      </w:r>
      <w:r>
        <w:rPr>
          <w:rFonts w:cs="Arial" w:ascii="Arial Narrow" w:hAnsi="Arial Narrow"/>
          <w:sz w:val="24"/>
          <w:szCs w:val="24"/>
        </w:rPr>
        <w:t xml:space="preserve"> - A contratação de operações de crédito dependerá de autorização em lei específica (art. 32, Parágrafo Único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38</w:t>
      </w:r>
      <w:r>
        <w:rPr>
          <w:rFonts w:cs="Arial" w:ascii="Arial Narrow" w:hAnsi="Arial Narrow"/>
          <w:sz w:val="24"/>
          <w:szCs w:val="24"/>
        </w:rPr>
        <w:t xml:space="preserve"> - Ultrapassado o limite de endividamento definido na legislação pertinente e enquanto perdurar o excesso, o Poder Executivo obterá resultado primário necessário através da limitação de empenho e movimentação financeira (art. 31, § 1°, II da LRF).</w:t>
      </w:r>
    </w:p>
    <w:p>
      <w:pPr>
        <w:pStyle w:val="Corpodotexto"/>
        <w:tabs>
          <w:tab w:val="left" w:pos="-567" w:leader="none"/>
          <w:tab w:val="left" w:pos="0" w:leader="none"/>
        </w:tabs>
        <w:ind w:firstLine="1134"/>
        <w:rPr>
          <w:rFonts w:ascii="Arial Narrow" w:hAnsi="Arial Narrow" w:cs="Arial"/>
          <w:sz w:val="24"/>
          <w:szCs w:val="24"/>
        </w:rPr>
      </w:pPr>
      <w:r>
        <w:rPr>
          <w:rFonts w:cs="Arial" w:ascii="Arial Narrow" w:hAnsi="Arial Narrow"/>
          <w:sz w:val="24"/>
          <w:szCs w:val="24"/>
        </w:rPr>
      </w:r>
    </w:p>
    <w:p>
      <w:pPr>
        <w:pStyle w:val="Ttulo2"/>
        <w:spacing w:before="0" w:after="0"/>
        <w:ind w:left="576" w:hanging="0"/>
        <w:rPr>
          <w:rFonts w:ascii="Arial Narrow" w:hAnsi="Arial Narrow" w:cs="Arial"/>
          <w:sz w:val="24"/>
          <w:szCs w:val="24"/>
          <w:u w:val="single"/>
        </w:rPr>
      </w:pPr>
      <w:r>
        <w:rPr>
          <w:rFonts w:cs="Arial" w:ascii="Arial Narrow" w:hAnsi="Arial Narrow"/>
          <w:sz w:val="24"/>
          <w:szCs w:val="24"/>
          <w:u w:val="single"/>
        </w:rPr>
      </w:r>
    </w:p>
    <w:p>
      <w:pPr>
        <w:pStyle w:val="Ttulo2"/>
        <w:spacing w:before="0" w:after="0"/>
        <w:ind w:left="576" w:hanging="0"/>
        <w:rPr>
          <w:rFonts w:ascii="Arial Narrow" w:hAnsi="Arial Narrow" w:cs="Arial"/>
          <w:sz w:val="24"/>
          <w:szCs w:val="24"/>
          <w:u w:val="single"/>
        </w:rPr>
      </w:pPr>
      <w:r>
        <w:rPr>
          <w:rFonts w:cs="Arial" w:ascii="Arial Narrow" w:hAnsi="Arial Narrow"/>
          <w:sz w:val="24"/>
          <w:szCs w:val="24"/>
          <w:u w:val="single"/>
        </w:rPr>
      </w:r>
    </w:p>
    <w:p>
      <w:pPr>
        <w:pStyle w:val="Ttulo2"/>
        <w:spacing w:before="0" w:after="0"/>
        <w:ind w:left="360" w:hanging="0"/>
        <w:jc w:val="center"/>
        <w:rPr>
          <w:rFonts w:ascii="Arial Narrow" w:hAnsi="Arial Narrow"/>
          <w:sz w:val="24"/>
          <w:szCs w:val="24"/>
          <w:lang w:val="x-none"/>
        </w:rPr>
      </w:pPr>
      <w:r>
        <w:rPr>
          <w:rFonts w:cs="Arial" w:ascii="Arial Narrow" w:hAnsi="Arial Narrow"/>
          <w:sz w:val="24"/>
          <w:szCs w:val="24"/>
          <w:u w:val="single"/>
        </w:rPr>
        <w:t>b)</w:t>
      </w:r>
      <w:r>
        <w:rPr>
          <w:rFonts w:cs="Arial" w:ascii="Arial Narrow" w:hAnsi="Arial Narrow"/>
          <w:sz w:val="24"/>
          <w:szCs w:val="24"/>
        </w:rPr>
        <w:t xml:space="preserve">          </w:t>
      </w:r>
      <w:r>
        <w:rPr>
          <w:rFonts w:cs="Arial" w:ascii="Arial Narrow" w:hAnsi="Arial Narrow"/>
          <w:sz w:val="24"/>
          <w:szCs w:val="24"/>
          <w:u w:val="single"/>
        </w:rPr>
        <w:t>VIII - DAS DISPOSIÇÕES SOBRE DESPESAS COM PESSOAL</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lang w:val="x-none"/>
        </w:rPr>
      </w:pPr>
      <w:r>
        <w:rPr>
          <w:rFonts w:cs="Arial" w:ascii="Arial Narrow" w:hAnsi="Arial Narrow"/>
          <w:sz w:val="24"/>
          <w:szCs w:val="24"/>
          <w:lang w:val="x-none"/>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39</w:t>
      </w:r>
      <w:r>
        <w:rPr>
          <w:rFonts w:cs="Arial" w:ascii="Arial Narrow" w:hAnsi="Arial Narrow"/>
          <w:sz w:val="24"/>
          <w:szCs w:val="24"/>
        </w:rPr>
        <w:t xml:space="preserve"> - O Executivo Municipal e o Legislativo Municipal, mediante lei autoriza tória, poderão em 2024, alterar a estrutura administrativa municipal criando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Parágrafo Único - Os recursos para as despesas decorrentes destes atos deverão estar previstos na lei de orçamento para 2024.</w:t>
      </w:r>
    </w:p>
    <w:p>
      <w:pPr>
        <w:pStyle w:val="Corpodotexto"/>
        <w:tabs>
          <w:tab w:val="left" w:pos="-567" w:leader="none"/>
          <w:tab w:val="left" w:pos="0" w:leader="none"/>
          <w:tab w:val="left" w:pos="2160" w:leader="none"/>
        </w:tabs>
        <w:ind w:firstLine="1134"/>
        <w:rPr>
          <w:rFonts w:ascii="Arial Narrow" w:hAnsi="Arial Narrow" w:cs="Arial"/>
          <w:b/>
          <w:b/>
          <w:sz w:val="24"/>
          <w:szCs w:val="24"/>
        </w:rPr>
      </w:pPr>
      <w:r>
        <w:rPr>
          <w:rFonts w:cs="Arial" w:ascii="Arial Narrow" w:hAnsi="Arial Narrow"/>
          <w:b/>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40</w:t>
      </w:r>
      <w:r>
        <w:rPr>
          <w:rFonts w:cs="Arial" w:ascii="Arial Narrow" w:hAnsi="Arial Narrow"/>
          <w:sz w:val="24"/>
          <w:szCs w:val="24"/>
        </w:rPr>
        <w:t xml:space="preserve"> -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41</w:t>
      </w:r>
      <w:r>
        <w:rPr>
          <w:rFonts w:cs="Arial" w:ascii="Arial Narrow" w:hAnsi="Arial Narrow"/>
          <w:sz w:val="24"/>
          <w:szCs w:val="24"/>
        </w:rPr>
        <w:t xml:space="preserve"> - O Executivo Municipal adotará as seguintes medidas para reduzir as despesas com pessoal caso elas ultrapassem os limites estabelecidos na LRF (art. 19 e 20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 </w:t>
        <w:tab/>
        <w:t>- Exoneração de servidores ocupantes de cargo em comissão;</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II </w:t>
        <w:tab/>
        <w:t>- Eliminação das despesas com horas-extras;</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III </w:t>
        <w:tab/>
        <w:t>- Eliminação de vantagens concedidas a servidores;</w:t>
      </w:r>
    </w:p>
    <w:p>
      <w:pPr>
        <w:pStyle w:val="Normal"/>
        <w:tabs>
          <w:tab w:val="clear" w:pos="709"/>
          <w:tab w:val="left" w:pos="-120" w:leader="none"/>
          <w:tab w:val="left" w:pos="240" w:leader="none"/>
          <w:tab w:val="left" w:pos="420" w:leader="none"/>
          <w:tab w:val="left" w:pos="1560" w:leader="none"/>
          <w:tab w:val="left" w:pos="1843" w:leader="none"/>
          <w:tab w:val="left" w:pos="3840" w:leader="none"/>
        </w:tabs>
        <w:ind w:left="1843" w:hanging="709"/>
        <w:jc w:val="both"/>
        <w:rPr>
          <w:rFonts w:ascii="Arial Narrow" w:hAnsi="Arial Narrow"/>
          <w:sz w:val="24"/>
          <w:szCs w:val="24"/>
        </w:rPr>
      </w:pPr>
      <w:r>
        <w:rPr>
          <w:rFonts w:cs="Arial" w:ascii="Arial Narrow" w:hAnsi="Arial Narrow"/>
          <w:sz w:val="24"/>
          <w:szCs w:val="24"/>
        </w:rPr>
        <w:t xml:space="preserve">IV </w:t>
        <w:tab/>
        <w:t>- Demissão de servidores admitidos em caráter temporário.</w:t>
      </w:r>
    </w:p>
    <w:p>
      <w:pPr>
        <w:pStyle w:val="Ttulo2"/>
        <w:rPr>
          <w:rFonts w:ascii="Arial Narrow" w:hAnsi="Arial Narrow" w:cs="Arial"/>
          <w:sz w:val="24"/>
          <w:szCs w:val="24"/>
          <w:u w:val="single"/>
        </w:rPr>
      </w:pPr>
      <w:r>
        <w:rPr>
          <w:rFonts w:cs="Arial" w:ascii="Arial Narrow" w:hAnsi="Arial Narrow"/>
          <w:sz w:val="24"/>
          <w:szCs w:val="24"/>
          <w:u w:val="single"/>
        </w:rPr>
      </w:r>
    </w:p>
    <w:p>
      <w:pPr>
        <w:pStyle w:val="Ttulo2"/>
        <w:numPr>
          <w:ilvl w:val="0"/>
          <w:numId w:val="2"/>
        </w:numPr>
        <w:jc w:val="center"/>
        <w:rPr>
          <w:rFonts w:ascii="Arial Narrow" w:hAnsi="Arial Narrow"/>
          <w:sz w:val="24"/>
          <w:szCs w:val="24"/>
        </w:rPr>
      </w:pPr>
      <w:r>
        <w:rPr>
          <w:rFonts w:cs="Arial" w:ascii="Arial Narrow" w:hAnsi="Arial Narrow"/>
          <w:sz w:val="24"/>
          <w:szCs w:val="24"/>
          <w:u w:val="single"/>
        </w:rPr>
        <w:t>IX - DAS DISPOSIÇÕES SOBRE ALTERAÇÃO NA LEGISLAÇÃO TRIBUTARIA</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lang w:val="x-none"/>
        </w:rPr>
      </w:pPr>
      <w:r>
        <w:rPr>
          <w:rFonts w:cs="Arial" w:ascii="Arial Narrow" w:hAnsi="Arial Narrow"/>
          <w:sz w:val="24"/>
          <w:szCs w:val="24"/>
          <w:lang w:val="x-none"/>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42</w:t>
      </w:r>
      <w:r>
        <w:rPr>
          <w:rFonts w:cs="Arial" w:ascii="Arial Narrow" w:hAnsi="Arial Narrow"/>
          <w:sz w:val="24"/>
          <w:szCs w:val="24"/>
        </w:rPr>
        <w:t xml:space="preserve"> -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 objeto de estudos do seu impacto orçamentário e financeiro no exercício em que iniciar sua vigência e nos dois anos subsequentes (art. 14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43</w:t>
      </w:r>
      <w:r>
        <w:rPr>
          <w:rFonts w:cs="Arial" w:ascii="Arial Narrow" w:hAnsi="Arial Narrow"/>
          <w:sz w:val="24"/>
          <w:szCs w:val="24"/>
        </w:rPr>
        <w:t xml:space="preserve"> - Os tributos lançados e não arrecadados, inscritos em dívida ativa, cujos custos para cobrança sejam superiores ao crédito tributário, poderão ser cancelados, mediante autorização em lei, não se constituindo como renúncia de receita (art. 14 § 3º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44</w:t>
      </w:r>
      <w:r>
        <w:rPr>
          <w:rFonts w:cs="Arial" w:ascii="Arial Narrow" w:hAnsi="Arial Narrow"/>
          <w:sz w:val="24"/>
          <w:szCs w:val="24"/>
        </w:rPr>
        <w:t xml:space="preserve"> - O ato que conceder ou ampliar incentivo, isenção ou benefício de natureza tributária ou financeira constante do Orçamento da Receita, somente entrará em vigor após adoção de medidas de compensação (art. 14, § 2º da LRF).</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Ttulo2"/>
        <w:ind w:left="576" w:hanging="0"/>
        <w:jc w:val="center"/>
        <w:rPr>
          <w:rFonts w:ascii="Arial Narrow" w:hAnsi="Arial Narrow"/>
          <w:sz w:val="24"/>
          <w:szCs w:val="24"/>
        </w:rPr>
      </w:pPr>
      <w:r>
        <w:rPr>
          <w:rFonts w:cs="Arial" w:ascii="Arial Narrow" w:hAnsi="Arial Narrow"/>
          <w:sz w:val="24"/>
          <w:szCs w:val="24"/>
          <w:u w:val="single"/>
        </w:rPr>
        <w:t>X - DAS DISPOSIÇÕES GERAIS</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45</w:t>
      </w:r>
      <w:r>
        <w:rPr>
          <w:rFonts w:cs="Arial" w:ascii="Arial Narrow" w:hAnsi="Arial Narrow"/>
          <w:sz w:val="24"/>
          <w:szCs w:val="24"/>
        </w:rPr>
        <w:t xml:space="preserve"> - O Executivo Municipal enviará a proposta orçamentária à Câmara Municipal no prazo estabelecido na Lei Orgânica do Município, que a apreciará e a devolverá para sanção até o encerramento do período legislativo anual.</w:t>
      </w:r>
    </w:p>
    <w:p>
      <w:pPr>
        <w:pStyle w:val="Normal"/>
        <w:tabs>
          <w:tab w:val="clear" w:pos="709"/>
          <w:tab w:val="left" w:pos="0" w:leader="none"/>
          <w:tab w:val="left" w:pos="540" w:leader="none"/>
          <w:tab w:val="left" w:pos="3960" w:leader="none"/>
        </w:tabs>
        <w:ind w:firstLine="1134"/>
        <w:jc w:val="both"/>
        <w:rPr>
          <w:rFonts w:ascii="Arial Narrow" w:hAnsi="Arial Narrow" w:cs="Arial"/>
          <w:color w:val="FF0000"/>
          <w:sz w:val="24"/>
          <w:szCs w:val="24"/>
        </w:rPr>
      </w:pPr>
      <w:r>
        <w:rPr>
          <w:rFonts w:cs="Arial" w:ascii="Arial Narrow" w:hAnsi="Arial Narrow"/>
          <w:color w:val="FF0000"/>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 1º - Se o projeto de lei orçamentária anual não for encaminhado à sanção até o final do exercício financeiro de 2024, fica o Executivo Municipal autorizado a executar a proposta orçamentária na forma original, até a sanção da respectiva lei orçamentária anual.</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540" w:leader="none"/>
          <w:tab w:val="left" w:pos="3960" w:leader="none"/>
        </w:tabs>
        <w:ind w:firstLine="1134"/>
        <w:jc w:val="both"/>
        <w:rPr>
          <w:rFonts w:ascii="Arial Narrow" w:hAnsi="Arial Narrow"/>
          <w:sz w:val="24"/>
          <w:szCs w:val="24"/>
        </w:rPr>
      </w:pPr>
      <w:r>
        <w:rPr>
          <w:rFonts w:cs="Arial" w:ascii="Arial Narrow" w:hAnsi="Arial Narrow"/>
          <w:sz w:val="24"/>
          <w:szCs w:val="24"/>
        </w:rPr>
        <w:t>§ 2º – As emendas impositivas definidas na Lei Orgânica Municipal no percentual de 2&amp; (dois por cento), serão alocadas conforme definição dos membros do Poder Legislativo Municipal, as quais serão encaminhadas ao Poder Executivo até o dia 15 de agosto de 2023.</w:t>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46</w:t>
      </w:r>
      <w:r>
        <w:rPr>
          <w:rFonts w:cs="Arial" w:ascii="Arial Narrow" w:hAnsi="Arial Narrow"/>
          <w:sz w:val="24"/>
          <w:szCs w:val="24"/>
        </w:rPr>
        <w:t xml:space="preserve"> - Serão consideradas legais as despesas com multas e juros pelo eventual atraso no pagamento de compromissos assumidos, motivados por insuficiência de tesouraria.</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47</w:t>
      </w:r>
      <w:r>
        <w:rPr>
          <w:rFonts w:cs="Arial" w:ascii="Arial Narrow" w:hAnsi="Arial Narrow"/>
          <w:sz w:val="24"/>
          <w:szCs w:val="24"/>
        </w:rPr>
        <w:t xml:space="preserve"> - Os créditos especiais e extraordinários, abertos nos últimos quatro meses do exercício, poderão ser reabertos no exercício subsequente, por ato da Chefe do Poder Executivo.</w:t>
      </w:r>
    </w:p>
    <w:p>
      <w:pPr>
        <w:pStyle w:val="Normal"/>
        <w:tabs>
          <w:tab w:val="clear" w:pos="709"/>
          <w:tab w:val="left" w:pos="0" w:leader="none"/>
          <w:tab w:val="left" w:pos="540" w:leader="none"/>
          <w:tab w:val="left" w:pos="3960" w:leader="none"/>
        </w:tabs>
        <w:ind w:firstLine="1134"/>
        <w:jc w:val="both"/>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b/>
          <w:sz w:val="24"/>
          <w:szCs w:val="24"/>
        </w:rPr>
        <w:t>Art. 48</w:t>
      </w:r>
      <w:r>
        <w:rPr>
          <w:rFonts w:cs="Arial" w:ascii="Arial Narrow" w:hAnsi="Arial Narrow"/>
          <w:sz w:val="24"/>
          <w:szCs w:val="24"/>
        </w:rPr>
        <w:t xml:space="preserve"> – O Poder Executivo Municipal fica autorizado a assinar convênios com o Governo Federal e Estadual através de seus órgãos da administração direta, para realização de obras ou serviços de competência do Município.</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sz w:val="24"/>
          <w:szCs w:val="24"/>
        </w:rPr>
        <w:t>Art.49 – O Poder Executivo fica autorizado a readequar o PPA em seus projetos e atividades tanto na projeção das receitas quanto na fixação das despesas para o exercício que abrangerá esta Lei e também a Lei orçamentária anual para o exercício de 2024.</w:t>
      </w:r>
    </w:p>
    <w:p>
      <w:pPr>
        <w:pStyle w:val="Corpodotexto"/>
        <w:tabs>
          <w:tab w:val="left" w:pos="-567" w:leader="none"/>
          <w:tab w:val="left" w:pos="0" w:leader="none"/>
          <w:tab w:val="left" w:pos="2160" w:leader="none"/>
        </w:tabs>
        <w:ind w:firstLine="1134"/>
        <w:rPr>
          <w:rFonts w:ascii="Arial Narrow" w:hAnsi="Arial Narrow"/>
          <w:sz w:val="24"/>
          <w:szCs w:val="24"/>
        </w:rPr>
      </w:pPr>
      <w:r>
        <w:rPr>
          <w:rFonts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ascii="Arial Narrow" w:hAnsi="Arial Narrow"/>
          <w:sz w:val="24"/>
          <w:szCs w:val="24"/>
        </w:rPr>
      </w:r>
    </w:p>
    <w:p>
      <w:pPr>
        <w:pStyle w:val="Corpodotexto"/>
        <w:tabs>
          <w:tab w:val="left" w:pos="-567" w:leader="none"/>
          <w:tab w:val="left" w:pos="0" w:leader="none"/>
          <w:tab w:val="left" w:pos="2160" w:leader="none"/>
        </w:tabs>
        <w:ind w:firstLine="1134"/>
        <w:rPr>
          <w:rFonts w:ascii="Arial Narrow" w:hAnsi="Arial Narrow"/>
          <w:sz w:val="24"/>
          <w:szCs w:val="24"/>
        </w:rPr>
      </w:pPr>
      <w:r>
        <w:rPr>
          <w:rFonts w:cs="Arial" w:ascii="Arial Narrow" w:hAnsi="Arial Narrow"/>
          <w:b/>
          <w:sz w:val="24"/>
          <w:szCs w:val="24"/>
        </w:rPr>
        <w:t>Art. 49</w:t>
      </w:r>
      <w:r>
        <w:rPr>
          <w:rFonts w:cs="Arial" w:ascii="Arial Narrow" w:hAnsi="Arial Narrow"/>
          <w:sz w:val="24"/>
          <w:szCs w:val="24"/>
        </w:rPr>
        <w:t xml:space="preserve"> - Esta Lei entrará em vigor na data de sua publicação. </w:t>
      </w:r>
    </w:p>
    <w:p>
      <w:pPr>
        <w:pStyle w:val="Corpodotexto"/>
        <w:tabs>
          <w:tab w:val="left" w:pos="-567" w:leader="none"/>
          <w:tab w:val="left" w:pos="0" w:leader="none"/>
          <w:tab w:val="left" w:pos="2160" w:leader="none"/>
        </w:tabs>
        <w:ind w:firstLine="1134"/>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540" w:leader="none"/>
          <w:tab w:val="left" w:pos="3960" w:leader="none"/>
        </w:tabs>
        <w:jc w:val="center"/>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540" w:leader="none"/>
          <w:tab w:val="left" w:pos="3960" w:leader="none"/>
        </w:tabs>
        <w:jc w:val="center"/>
        <w:rPr>
          <w:rFonts w:ascii="Arial Narrow" w:hAnsi="Arial Narrow" w:cs="Arial"/>
          <w:sz w:val="24"/>
          <w:szCs w:val="24"/>
        </w:rPr>
      </w:pPr>
      <w:r>
        <w:rPr>
          <w:rFonts w:cs="Arial" w:ascii="Arial Narrow" w:hAnsi="Arial Narrow"/>
          <w:sz w:val="24"/>
          <w:szCs w:val="24"/>
        </w:rPr>
      </w:r>
    </w:p>
    <w:p>
      <w:pPr>
        <w:pStyle w:val="Normal"/>
        <w:tabs>
          <w:tab w:val="clear" w:pos="709"/>
          <w:tab w:val="left" w:pos="0" w:leader="none"/>
          <w:tab w:val="left" w:pos="540" w:leader="none"/>
          <w:tab w:val="left" w:pos="3960" w:leader="none"/>
        </w:tabs>
        <w:jc w:val="center"/>
        <w:rPr>
          <w:rFonts w:ascii="Arial Narrow" w:hAnsi="Arial Narrow" w:cs="Arial"/>
          <w:sz w:val="24"/>
          <w:szCs w:val="24"/>
        </w:rPr>
      </w:pPr>
      <w:r>
        <w:rPr>
          <w:rFonts w:cs="Arial" w:ascii="Arial Narrow" w:hAnsi="Arial Narrow"/>
          <w:sz w:val="24"/>
          <w:szCs w:val="24"/>
        </w:rPr>
        <w:t>Carambeí/PR, 28 de junho de 2023.</w:t>
      </w:r>
    </w:p>
    <w:p>
      <w:pPr>
        <w:pStyle w:val="Normal"/>
        <w:jc w:val="center"/>
        <w:rPr>
          <w:rFonts w:ascii="Arial Narrow" w:hAnsi="Arial Narrow" w:cs="Arial"/>
          <w:sz w:val="24"/>
          <w:szCs w:val="24"/>
        </w:rPr>
      </w:pPr>
      <w:r>
        <w:rPr>
          <w:rFonts w:cs="Arial" w:ascii="Arial Narrow" w:hAnsi="Arial Narrow"/>
          <w:sz w:val="24"/>
          <w:szCs w:val="24"/>
        </w:rPr>
      </w:r>
    </w:p>
    <w:p>
      <w:pPr>
        <w:pStyle w:val="Normal"/>
        <w:jc w:val="center"/>
        <w:rPr>
          <w:rFonts w:ascii="Arial Narrow" w:hAnsi="Arial Narrow" w:cs="Arial"/>
          <w:sz w:val="24"/>
          <w:szCs w:val="24"/>
        </w:rPr>
      </w:pPr>
      <w:r>
        <w:rPr>
          <w:rFonts w:cs="Arial" w:ascii="Arial Narrow" w:hAnsi="Arial Narrow"/>
          <w:sz w:val="24"/>
          <w:szCs w:val="24"/>
        </w:rPr>
      </w:r>
    </w:p>
    <w:p>
      <w:pPr>
        <w:pStyle w:val="Normal"/>
        <w:jc w:val="center"/>
        <w:rPr>
          <w:rFonts w:ascii="Arial Narrow" w:hAnsi="Arial Narrow" w:cs="Arial"/>
          <w:sz w:val="24"/>
          <w:szCs w:val="24"/>
        </w:rPr>
      </w:pPr>
      <w:r>
        <w:rPr>
          <w:rFonts w:cs="Arial" w:ascii="Arial Narrow" w:hAnsi="Arial Narrow"/>
          <w:sz w:val="24"/>
          <w:szCs w:val="24"/>
        </w:rPr>
      </w:r>
    </w:p>
    <w:p>
      <w:pPr>
        <w:pStyle w:val="Normal"/>
        <w:jc w:val="center"/>
        <w:rPr>
          <w:rFonts w:ascii="Arial Narrow" w:hAnsi="Arial Narrow" w:cs="Arial"/>
          <w:sz w:val="24"/>
          <w:szCs w:val="24"/>
        </w:rPr>
      </w:pPr>
      <w:r>
        <w:rPr>
          <w:rFonts w:cs="Arial" w:ascii="Arial Narrow" w:hAnsi="Arial Narrow"/>
          <w:sz w:val="24"/>
          <w:szCs w:val="24"/>
        </w:rPr>
      </w:r>
    </w:p>
    <w:p>
      <w:pPr>
        <w:pStyle w:val="Normal"/>
        <w:jc w:val="center"/>
        <w:rPr>
          <w:rFonts w:ascii="Arial Narrow" w:hAnsi="Arial Narrow" w:cs="Arial"/>
          <w:sz w:val="24"/>
          <w:szCs w:val="24"/>
        </w:rPr>
      </w:pPr>
      <w:r>
        <w:rPr>
          <w:rFonts w:cs="Arial" w:ascii="Arial Narrow" w:hAnsi="Arial Narrow"/>
          <w:sz w:val="24"/>
          <w:szCs w:val="24"/>
        </w:rPr>
      </w:r>
    </w:p>
    <w:p>
      <w:pPr>
        <w:pStyle w:val="Normal"/>
        <w:spacing w:before="0" w:after="0"/>
        <w:jc w:val="center"/>
        <w:rPr>
          <w:rFonts w:ascii="Arial Narrow" w:hAnsi="Arial Narrow"/>
          <w:sz w:val="24"/>
          <w:szCs w:val="24"/>
        </w:rPr>
      </w:pPr>
      <w:r>
        <w:rPr>
          <w:rFonts w:eastAsia="Arial" w:cs="Arial" w:ascii="Arial Narrow" w:hAnsi="Arial Narrow"/>
          <w:b/>
          <w:bCs/>
          <w:sz w:val="24"/>
          <w:szCs w:val="24"/>
        </w:rPr>
        <w:t xml:space="preserve"> </w:t>
      </w:r>
      <w:r>
        <w:rPr>
          <w:rFonts w:eastAsia="Arial" w:cs="Arial" w:ascii="Arial Narrow" w:hAnsi="Arial Narrow"/>
          <w:b/>
          <w:bCs/>
          <w:sz w:val="24"/>
          <w:szCs w:val="24"/>
        </w:rPr>
        <w:t>ELISANGELA PEDROSO DE OLIVEIRA NUNES</w:t>
      </w:r>
    </w:p>
    <w:p>
      <w:pPr>
        <w:pStyle w:val="Normal"/>
        <w:spacing w:before="0" w:after="0"/>
        <w:jc w:val="center"/>
        <w:rPr>
          <w:rFonts w:ascii="Arial Narrow" w:hAnsi="Arial Narrow"/>
          <w:sz w:val="24"/>
          <w:szCs w:val="24"/>
        </w:rPr>
      </w:pPr>
      <w:r>
        <w:rPr>
          <w:rFonts w:eastAsia="Arial" w:cs="Arial" w:ascii="Arial Narrow" w:hAnsi="Arial Narrow"/>
          <w:sz w:val="24"/>
          <w:szCs w:val="24"/>
        </w:rPr>
        <w:t xml:space="preserve"> </w:t>
      </w:r>
      <w:r>
        <w:rPr>
          <w:rFonts w:cs="Arial" w:ascii="Arial Narrow" w:hAnsi="Arial Narrow"/>
          <w:sz w:val="24"/>
          <w:szCs w:val="24"/>
        </w:rPr>
        <w:t>PREFEITA MUNICIPAL</w:t>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rPr>
          <w:rFonts w:ascii="Arial Narrow" w:hAnsi="Arial Narrow" w:cs="Arial"/>
          <w:b/>
          <w:b/>
          <w:bCs/>
          <w:sz w:val="24"/>
          <w:szCs w:val="24"/>
          <w:u w:val="single"/>
        </w:rPr>
      </w:pPr>
      <w:r>
        <w:rPr>
          <w:rFonts w:cs="Arial" w:ascii="Arial Narrow" w:hAnsi="Arial Narrow"/>
          <w:b/>
          <w:bCs/>
          <w:sz w:val="24"/>
          <w:szCs w:val="24"/>
          <w:u w:val="single"/>
        </w:rPr>
        <w:t>ANEXO EXPLICATIVO</w:t>
      </w:r>
    </w:p>
    <w:p>
      <w:pPr>
        <w:pStyle w:val="Normal"/>
        <w:rPr>
          <w:rFonts w:ascii="Arial Narrow" w:hAnsi="Arial Narrow" w:cs="Arial"/>
          <w:sz w:val="24"/>
          <w:szCs w:val="24"/>
        </w:rPr>
      </w:pPr>
      <w:r>
        <w:rPr>
          <w:rFonts w:cs="Arial" w:ascii="Arial Narrow" w:hAnsi="Arial Narrow"/>
          <w:b/>
          <w:bCs/>
          <w:sz w:val="24"/>
          <w:szCs w:val="24"/>
          <w:u w:val="single"/>
        </w:rPr>
        <w:t>ANEXO DE METAS FISCAIS – EXERCÍCIO DE 2023 PARA 2024</w:t>
      </w:r>
    </w:p>
    <w:p>
      <w:pPr>
        <w:pStyle w:val="Normal"/>
        <w:rPr>
          <w:rFonts w:ascii="Arial Narrow" w:hAnsi="Arial Narrow" w:cs="Arial"/>
          <w:sz w:val="24"/>
          <w:szCs w:val="24"/>
        </w:rPr>
      </w:pPr>
      <w:r>
        <w:rPr>
          <w:rFonts w:cs="Arial" w:ascii="Arial Narrow" w:hAnsi="Arial Narrow"/>
          <w:b/>
          <w:bCs/>
          <w:sz w:val="24"/>
          <w:szCs w:val="24"/>
          <w:u w:val="single"/>
        </w:rPr>
        <w:t xml:space="preserve">ANEXO I - MEMÓRIA E METODOLOGIA DE CÁLCULO </w:t>
      </w:r>
    </w:p>
    <w:p>
      <w:pPr>
        <w:pStyle w:val="Normal"/>
        <w:rPr>
          <w:rFonts w:ascii="Arial Narrow" w:hAnsi="Arial Narrow" w:cs="Arial"/>
          <w:b/>
          <w:b/>
          <w:bCs/>
          <w:sz w:val="24"/>
          <w:szCs w:val="24"/>
          <w:u w:val="single"/>
        </w:rPr>
      </w:pPr>
      <w:r>
        <w:rPr>
          <w:rFonts w:cs="Arial" w:ascii="Arial Narrow" w:hAnsi="Arial Narrow"/>
          <w:b/>
          <w:bCs/>
          <w:sz w:val="24"/>
          <w:szCs w:val="24"/>
          <w:u w:val="single"/>
        </w:rPr>
        <w:t>DAS METAS ANUAIS</w:t>
      </w:r>
    </w:p>
    <w:p>
      <w:pPr>
        <w:pStyle w:val="Normal"/>
        <w:rPr>
          <w:rFonts w:ascii="Arial Narrow" w:hAnsi="Arial Narrow" w:cs="Arial"/>
          <w:sz w:val="24"/>
          <w:szCs w:val="24"/>
        </w:rPr>
      </w:pPr>
      <w:r>
        <w:rPr>
          <w:rFonts w:cs="Arial" w:ascii="Arial Narrow" w:hAnsi="Arial Narrow"/>
          <w:sz w:val="24"/>
          <w:szCs w:val="24"/>
        </w:rPr>
      </w:r>
    </w:p>
    <w:p>
      <w:pPr>
        <w:pStyle w:val="Normal"/>
        <w:jc w:val="center"/>
        <w:rPr>
          <w:rFonts w:ascii="Arial Narrow" w:hAnsi="Arial Narrow" w:cs="Arial"/>
          <w:sz w:val="24"/>
          <w:szCs w:val="24"/>
        </w:rPr>
      </w:pPr>
      <w:r>
        <w:rPr>
          <w:rFonts w:cs="Arial" w:ascii="Arial Narrow" w:hAnsi="Arial Narrow"/>
          <w:b/>
          <w:bCs/>
          <w:sz w:val="24"/>
          <w:szCs w:val="24"/>
        </w:rPr>
        <w:t>(Artigo 4º, § 2º, inciso II, da Lei Complementar nº. 101/2000)</w:t>
      </w:r>
    </w:p>
    <w:p>
      <w:pPr>
        <w:pStyle w:val="Normal"/>
        <w:jc w:val="both"/>
        <w:rPr>
          <w:rFonts w:ascii="Arial Narrow" w:hAnsi="Arial Narrow" w:cs="Arial"/>
          <w:sz w:val="24"/>
          <w:szCs w:val="24"/>
        </w:rPr>
      </w:pPr>
      <w:r>
        <w:rPr>
          <w:rFonts w:cs="Arial" w:ascii="Arial Narrow" w:hAnsi="Arial Narrow"/>
          <w:bCs/>
          <w:sz w:val="24"/>
          <w:szCs w:val="24"/>
        </w:rPr>
        <w:t>O art. 4º, § 2º, inciso II, da LRF – Lei de Responsabilidade Fiscal, estabelece que o demonstrativo das metas anuais deverá ser instruído com a memória e metodologia de cálculo para se saber como tais valores foram obtidos.</w:t>
      </w:r>
    </w:p>
    <w:p>
      <w:pPr>
        <w:pStyle w:val="Normal"/>
        <w:jc w:val="center"/>
        <w:rPr>
          <w:rFonts w:ascii="Arial Narrow" w:hAnsi="Arial Narrow" w:cs="Arial"/>
          <w:bCs/>
          <w:sz w:val="24"/>
          <w:szCs w:val="24"/>
        </w:rPr>
      </w:pPr>
      <w:r>
        <w:rPr>
          <w:rFonts w:cs="Arial" w:ascii="Arial Narrow" w:hAnsi="Arial Narrow"/>
          <w:bCs/>
          <w:sz w:val="24"/>
          <w:szCs w:val="24"/>
        </w:rPr>
      </w:r>
    </w:p>
    <w:p>
      <w:pPr>
        <w:pStyle w:val="Normal"/>
        <w:jc w:val="both"/>
        <w:rPr>
          <w:rFonts w:ascii="Arial Narrow" w:hAnsi="Arial Narrow" w:cs="Arial"/>
          <w:sz w:val="24"/>
          <w:szCs w:val="24"/>
        </w:rPr>
      </w:pPr>
      <w:r>
        <w:rPr>
          <w:rFonts w:cs="Arial" w:ascii="Arial Narrow" w:hAnsi="Arial Narrow"/>
          <w:bCs/>
          <w:sz w:val="24"/>
          <w:szCs w:val="24"/>
        </w:rPr>
        <w:t>Sendo assim, elaboramos a seguir os demonstrativos com a memória de cálculo e a metodologia utilizada para a obtenção dos valores relativos às Receitas, Despesas, Resultado Primário, Resultado Nominal e Montante da Dívida Pública.</w:t>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sz w:val="24"/>
          <w:szCs w:val="24"/>
        </w:rPr>
      </w:pPr>
      <w:r>
        <w:rPr>
          <w:rFonts w:cs="Arial" w:ascii="Arial Narrow" w:hAnsi="Arial Narrow"/>
          <w:b/>
          <w:bCs/>
          <w:sz w:val="24"/>
          <w:szCs w:val="24"/>
          <w:u w:val="single"/>
        </w:rPr>
        <w:t xml:space="preserve">I - METODOLOGIA E MEMÓRIA DE CÁLCULO DAS METAS ANUAIS PARA AS RECEITAS </w:t>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both"/>
        <w:rPr>
          <w:rFonts w:ascii="Arial Narrow" w:hAnsi="Arial Narrow" w:cs="Arial"/>
          <w:bCs/>
          <w:sz w:val="24"/>
          <w:szCs w:val="24"/>
        </w:rPr>
      </w:pPr>
      <w:r>
        <w:rPr>
          <w:rFonts w:cs="Arial" w:ascii="Arial Narrow" w:hAnsi="Arial Narrow"/>
          <w:bCs/>
          <w:sz w:val="24"/>
          <w:szCs w:val="24"/>
        </w:rPr>
        <w:t>Conforme tabela elaborada – ANEXO II – RECEITA, as metas anuais de Receitas foram calculadas com base na arrecadação dos exercícios de 2021 e 2022, e o previsto para o exercício atual de 2023.</w:t>
      </w:r>
    </w:p>
    <w:p>
      <w:pPr>
        <w:pStyle w:val="Normal"/>
        <w:jc w:val="both"/>
        <w:rPr>
          <w:rFonts w:ascii="Arial Narrow" w:hAnsi="Arial Narrow" w:cs="Arial"/>
          <w:bCs/>
          <w:sz w:val="24"/>
          <w:szCs w:val="24"/>
        </w:rPr>
      </w:pPr>
      <w:r>
        <w:rPr>
          <w:rFonts w:cs="Arial" w:ascii="Arial Narrow" w:hAnsi="Arial Narrow"/>
          <w:bCs/>
          <w:sz w:val="24"/>
          <w:szCs w:val="24"/>
        </w:rPr>
        <w:t>Assim projetada as receitas em conformidade com o anexo de metas a serem atingidas para os exercícios de 2022 a 2025, seguindo as prerrogativas da Lei 4.320/64 e Lei Complementar 101/2000.</w:t>
      </w:r>
    </w:p>
    <w:p>
      <w:pPr>
        <w:pStyle w:val="Normal"/>
        <w:jc w:val="both"/>
        <w:rPr>
          <w:rFonts w:ascii="Arial Narrow" w:hAnsi="Arial Narrow" w:cs="Arial"/>
          <w:bCs/>
          <w:sz w:val="24"/>
          <w:szCs w:val="24"/>
        </w:rPr>
      </w:pPr>
      <w:r>
        <w:rPr>
          <w:rFonts w:cs="Arial" w:ascii="Arial Narrow" w:hAnsi="Arial Narrow"/>
          <w:bCs/>
          <w:sz w:val="24"/>
          <w:szCs w:val="24"/>
        </w:rPr>
        <w:t>A avalição e cumprimentos das metas anuais, encontram-se amparadas, nos exercícios anteriores e projetando para o os exercícios subsequentes, até o período de abrangência do PPA.</w:t>
      </w:r>
    </w:p>
    <w:p>
      <w:pPr>
        <w:pStyle w:val="Normal"/>
        <w:jc w:val="center"/>
        <w:rPr>
          <w:rFonts w:ascii="Arial Narrow" w:hAnsi="Arial Narrow" w:cs="Arial"/>
          <w:b/>
          <w:b/>
          <w:bCs/>
          <w:sz w:val="24"/>
          <w:szCs w:val="24"/>
          <w:u w:val="single"/>
        </w:rPr>
      </w:pPr>
      <w:r>
        <w:rPr>
          <w:rFonts w:cs="Arial" w:ascii="Arial Narrow" w:hAnsi="Arial Narrow"/>
          <w:b/>
          <w:bCs/>
          <w:sz w:val="24"/>
          <w:szCs w:val="24"/>
          <w:u w:val="single"/>
        </w:rPr>
      </w:r>
    </w:p>
    <w:p>
      <w:pPr>
        <w:pStyle w:val="Normal"/>
        <w:jc w:val="center"/>
        <w:rPr>
          <w:rFonts w:ascii="Arial Narrow" w:hAnsi="Arial Narrow" w:cs="Arial"/>
          <w:b/>
          <w:b/>
          <w:bCs/>
          <w:sz w:val="24"/>
          <w:szCs w:val="24"/>
          <w:u w:val="single"/>
        </w:rPr>
      </w:pPr>
      <w:r>
        <w:rPr>
          <w:rFonts w:cs="Arial" w:ascii="Arial Narrow" w:hAnsi="Arial Narrow"/>
          <w:b/>
          <w:bCs/>
          <w:sz w:val="24"/>
          <w:szCs w:val="24"/>
          <w:u w:val="single"/>
        </w:rPr>
        <w:t xml:space="preserve">II - METODOLOGIA E MEMÓRIA DE CÁLCULO DAS METAS ANUAIS PARA AS DESPESAS </w:t>
      </w:r>
    </w:p>
    <w:p>
      <w:pPr>
        <w:pStyle w:val="Normal"/>
        <w:jc w:val="both"/>
        <w:rPr>
          <w:rFonts w:ascii="Arial Narrow" w:hAnsi="Arial Narrow" w:cs="Arial"/>
          <w:sz w:val="24"/>
          <w:szCs w:val="24"/>
        </w:rPr>
      </w:pPr>
      <w:r>
        <w:rPr>
          <w:rFonts w:cs="Arial" w:ascii="Arial Narrow" w:hAnsi="Arial Narrow"/>
          <w:sz w:val="24"/>
          <w:szCs w:val="24"/>
        </w:rPr>
        <w:t xml:space="preserve">As despesas seguem a mesma metodologia de abrangência do PPA, levando em consideração o realizado nos exercícios anteriores e projetando para os exercícios subsequentes, seguindo a lógica do montante a ser arrecadado para os exercícios vindouros. Com fundamento no inciso II do §2° do Artigo 4º da Lei de Responsabilidade Fiscal 101/2000. </w:t>
      </w:r>
    </w:p>
    <w:p>
      <w:pPr>
        <w:pStyle w:val="Normal"/>
        <w:jc w:val="center"/>
        <w:rPr>
          <w:rFonts w:ascii="Arial Narrow" w:hAnsi="Arial Narrow" w:cs="Arial"/>
          <w:sz w:val="24"/>
          <w:szCs w:val="24"/>
        </w:rPr>
      </w:pPr>
      <w:r>
        <w:rPr>
          <w:rFonts w:cs="Arial" w:ascii="Arial Narrow" w:hAnsi="Arial Narrow"/>
          <w:b/>
          <w:bCs/>
          <w:sz w:val="24"/>
          <w:szCs w:val="24"/>
          <w:u w:val="single"/>
        </w:rPr>
        <w:t xml:space="preserve">III - METODOLOGIA E MEMÓRIA DE CÁLCULO DAS METAS ANUAIS PARA O RESULTADO PRIMÁRIO </w:t>
      </w:r>
    </w:p>
    <w:p>
      <w:pPr>
        <w:pStyle w:val="Normal"/>
        <w:jc w:val="both"/>
        <w:rPr>
          <w:rFonts w:ascii="Arial Narrow" w:hAnsi="Arial Narrow" w:cs="Arial"/>
          <w:b/>
          <w:b/>
          <w:bCs/>
          <w:sz w:val="24"/>
          <w:szCs w:val="24"/>
        </w:rPr>
      </w:pPr>
      <w:r>
        <w:rPr>
          <w:rFonts w:cs="Arial" w:ascii="Arial Narrow" w:hAnsi="Arial Narrow"/>
          <w:b/>
          <w:bCs/>
          <w:sz w:val="24"/>
          <w:szCs w:val="24"/>
        </w:rPr>
      </w:r>
    </w:p>
    <w:p>
      <w:pPr>
        <w:pStyle w:val="Normal"/>
        <w:jc w:val="both"/>
        <w:rPr>
          <w:rFonts w:ascii="Arial Narrow" w:hAnsi="Arial Narrow" w:cs="Arial"/>
          <w:sz w:val="24"/>
          <w:szCs w:val="24"/>
        </w:rPr>
      </w:pPr>
      <w:r>
        <w:rPr>
          <w:rFonts w:cs="Arial" w:ascii="Arial Narrow" w:hAnsi="Arial Narrow"/>
          <w:bCs/>
          <w:sz w:val="24"/>
          <w:szCs w:val="24"/>
        </w:rPr>
        <w:t>Em atendimento ao artigo 4º, § 2º, inciso II da LRF – Lei de Responsabilidade Fiscal, é demonstrada no ANEXO III – RESULTADO PRIMÁRIO o apurado valor das metas de resultado primário para o exercício orçamentário da LDO de 2022, e para os dois exercícios subsequentes.</w:t>
      </w:r>
    </w:p>
    <w:p>
      <w:pPr>
        <w:pStyle w:val="Normal"/>
        <w:jc w:val="both"/>
        <w:rPr>
          <w:rFonts w:ascii="Arial Narrow" w:hAnsi="Arial Narrow" w:cs="Arial"/>
          <w:bCs/>
          <w:sz w:val="24"/>
          <w:szCs w:val="24"/>
        </w:rPr>
      </w:pPr>
      <w:r>
        <w:rPr>
          <w:rFonts w:cs="Arial" w:ascii="Arial Narrow" w:hAnsi="Arial Narrow"/>
          <w:bCs/>
          <w:sz w:val="24"/>
          <w:szCs w:val="24"/>
        </w:rPr>
      </w:r>
    </w:p>
    <w:p>
      <w:pPr>
        <w:pStyle w:val="Normal"/>
        <w:jc w:val="both"/>
        <w:rPr>
          <w:rFonts w:ascii="Arial Narrow" w:hAnsi="Arial Narrow" w:cs="Arial"/>
          <w:sz w:val="24"/>
          <w:szCs w:val="24"/>
        </w:rPr>
      </w:pPr>
      <w:r>
        <w:rPr>
          <w:rFonts w:cs="Arial" w:ascii="Arial Narrow" w:hAnsi="Arial Narrow"/>
          <w:bCs/>
          <w:sz w:val="24"/>
          <w:szCs w:val="24"/>
        </w:rPr>
        <w:t>A finalidade do conceito de Resultado Primário (definição no Anexo de Metas Fiscais) é indicar se os níveis de gastos orçamentários são compatíveis com sua arrecadação, ou seja, se as Receitas Primárias são capazes de suportar as Despesas Primárias.</w:t>
      </w:r>
    </w:p>
    <w:p>
      <w:pPr>
        <w:pStyle w:val="Normal"/>
        <w:jc w:val="both"/>
        <w:rPr>
          <w:rFonts w:ascii="Arial Narrow" w:hAnsi="Arial Narrow" w:cs="Arial"/>
          <w:b/>
          <w:b/>
          <w:bCs/>
          <w:sz w:val="24"/>
          <w:szCs w:val="24"/>
        </w:rPr>
      </w:pPr>
      <w:r>
        <w:rPr>
          <w:rFonts w:cs="Arial" w:ascii="Arial Narrow" w:hAnsi="Arial Narrow"/>
          <w:b/>
          <w:bCs/>
          <w:sz w:val="24"/>
          <w:szCs w:val="24"/>
        </w:rPr>
      </w:r>
    </w:p>
    <w:p>
      <w:pPr>
        <w:pStyle w:val="Normal"/>
        <w:jc w:val="both"/>
        <w:rPr>
          <w:rFonts w:ascii="Arial Narrow" w:hAnsi="Arial Narrow" w:cs="Arial"/>
          <w:sz w:val="24"/>
          <w:szCs w:val="24"/>
        </w:rPr>
      </w:pPr>
      <w:r>
        <w:rPr>
          <w:rFonts w:cs="Arial" w:ascii="Arial Narrow" w:hAnsi="Arial Narrow"/>
          <w:bCs/>
          <w:sz w:val="24"/>
          <w:szCs w:val="24"/>
        </w:rPr>
        <w:t>Os dados relativos às receitas e despesas foram extraídos do demonstrativo do ANEXO II – RECEITA E DESPESA. O cálculo da Meta de Resultado Primário obedeceu à metodologia estabelecida pelo Governo Federal, através das Portarias expedidas pela STN - Secretaria do Tesouro Nacional, relativas às normas da contabilidade pública.</w:t>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sz w:val="24"/>
          <w:szCs w:val="24"/>
        </w:rPr>
      </w:pPr>
      <w:r>
        <w:rPr>
          <w:rFonts w:cs="Arial" w:ascii="Arial Narrow" w:hAnsi="Arial Narrow"/>
          <w:b/>
          <w:bCs/>
          <w:sz w:val="24"/>
          <w:szCs w:val="24"/>
          <w:u w:val="single"/>
        </w:rPr>
        <w:t xml:space="preserve">IV - METODOLOGIA E MEMÓRIA DE CÁLCULO DAS METAS ANUAIS PARA O RESULTADO NOMINAL </w:t>
      </w:r>
    </w:p>
    <w:p>
      <w:pPr>
        <w:pStyle w:val="Normal"/>
        <w:jc w:val="both"/>
        <w:rPr>
          <w:rFonts w:ascii="Arial Narrow" w:hAnsi="Arial Narrow" w:cs="Arial"/>
          <w:sz w:val="24"/>
          <w:szCs w:val="24"/>
        </w:rPr>
      </w:pPr>
      <w:r>
        <w:rPr>
          <w:rFonts w:cs="Arial" w:ascii="Arial Narrow" w:hAnsi="Arial Narrow"/>
          <w:bCs/>
          <w:sz w:val="24"/>
          <w:szCs w:val="24"/>
        </w:rPr>
        <w:t>Em atendimento ao artigo 4º, § 2º, inciso II da LRF – Lei de Responsabilidade Fiscal, é demonstrada no ANEXO III – RESULTADO NOMINAL o apurado valor das metas de resultado nominal (definição no Anexo de Metas Fiscais) para o exercício orçamentário da LDO de 2022 e para os dois exercícios subsequentes.</w:t>
      </w:r>
    </w:p>
    <w:p>
      <w:pPr>
        <w:pStyle w:val="Normal"/>
        <w:rPr>
          <w:rFonts w:ascii="Arial Narrow" w:hAnsi="Arial Narrow" w:cs="Arial"/>
          <w:bCs/>
          <w:sz w:val="24"/>
          <w:szCs w:val="24"/>
        </w:rPr>
      </w:pPr>
      <w:r>
        <w:rPr>
          <w:rFonts w:cs="Arial" w:ascii="Arial Narrow" w:hAnsi="Arial Narrow"/>
          <w:bCs/>
          <w:sz w:val="24"/>
          <w:szCs w:val="24"/>
        </w:rPr>
      </w:r>
    </w:p>
    <w:p>
      <w:pPr>
        <w:pStyle w:val="Normal"/>
        <w:jc w:val="both"/>
        <w:rPr>
          <w:rFonts w:ascii="Arial Narrow" w:hAnsi="Arial Narrow" w:cs="Arial"/>
          <w:sz w:val="24"/>
          <w:szCs w:val="24"/>
        </w:rPr>
      </w:pPr>
      <w:r>
        <w:rPr>
          <w:rFonts w:cs="Arial" w:ascii="Arial Narrow" w:hAnsi="Arial Narrow"/>
          <w:bCs/>
          <w:sz w:val="24"/>
          <w:szCs w:val="24"/>
        </w:rPr>
        <w:t>O cálculo das metas anuais relativas ao Resultado Nominal foi efetuado em conformidade com a metodologia estabelecida pelo Governo Federal, normatizada pela STN - Secretaria do Tesouro Nacional.</w:t>
      </w:r>
    </w:p>
    <w:p>
      <w:pPr>
        <w:pStyle w:val="Normal"/>
        <w:jc w:val="center"/>
        <w:rPr>
          <w:rFonts w:ascii="Arial Narrow" w:hAnsi="Arial Narrow" w:cs="Arial"/>
          <w:b/>
          <w:b/>
          <w:bCs/>
          <w:sz w:val="24"/>
          <w:szCs w:val="24"/>
        </w:rPr>
      </w:pPr>
      <w:r>
        <w:rPr>
          <w:rFonts w:cs="Arial" w:ascii="Arial Narrow" w:hAnsi="Arial Narrow"/>
          <w:b/>
          <w:bCs/>
          <w:sz w:val="24"/>
          <w:szCs w:val="24"/>
        </w:rPr>
      </w:r>
    </w:p>
    <w:p>
      <w:pPr>
        <w:pStyle w:val="Normal"/>
        <w:jc w:val="center"/>
        <w:rPr>
          <w:rFonts w:ascii="Arial Narrow" w:hAnsi="Arial Narrow" w:cs="Arial"/>
          <w:sz w:val="24"/>
          <w:szCs w:val="24"/>
        </w:rPr>
      </w:pPr>
      <w:r>
        <w:rPr>
          <w:rFonts w:cs="Arial" w:ascii="Arial Narrow" w:hAnsi="Arial Narrow"/>
          <w:b/>
          <w:bCs/>
          <w:sz w:val="24"/>
          <w:szCs w:val="24"/>
          <w:u w:val="single"/>
        </w:rPr>
        <w:t xml:space="preserve">V - METODOLOGIA E MEMÓRIA DE CÁLCULO DAS METAS ANUAIS PARA O MONTANTE DA DÍVIDA PÚBLICA </w:t>
      </w:r>
    </w:p>
    <w:p>
      <w:pPr>
        <w:pStyle w:val="Normal"/>
        <w:rPr>
          <w:rFonts w:ascii="Arial Narrow" w:hAnsi="Arial Narrow" w:cs="Arial"/>
          <w:b/>
          <w:b/>
          <w:bCs/>
          <w:sz w:val="24"/>
          <w:szCs w:val="24"/>
        </w:rPr>
      </w:pPr>
      <w:r>
        <w:rPr>
          <w:rFonts w:cs="Arial" w:ascii="Arial Narrow" w:hAnsi="Arial Narrow"/>
          <w:b/>
          <w:bCs/>
          <w:sz w:val="24"/>
          <w:szCs w:val="24"/>
        </w:rPr>
      </w:r>
    </w:p>
    <w:p>
      <w:pPr>
        <w:pStyle w:val="Normal"/>
        <w:jc w:val="both"/>
        <w:rPr>
          <w:rFonts w:ascii="Arial Narrow" w:hAnsi="Arial Narrow" w:cs="Arial"/>
          <w:sz w:val="24"/>
          <w:szCs w:val="24"/>
        </w:rPr>
      </w:pPr>
      <w:r>
        <w:rPr>
          <w:rFonts w:cs="Arial" w:ascii="Arial Narrow" w:hAnsi="Arial Narrow"/>
          <w:bCs/>
          <w:sz w:val="24"/>
          <w:szCs w:val="24"/>
        </w:rPr>
        <w:t>Em atendimento ao artigo 4º, § 2º, inciso II da LRF – Lei de Responsabilidade Fiscal, é demonstrada no ANEXO III – MONTANTE DA DÍVIDA PÚBLICA o apurado valor das metas do montante da Dívida Consolidada para o exercício orçamentário da LDO de 2023 e para os dois exercícios subsequentes.</w:t>
      </w:r>
    </w:p>
    <w:p>
      <w:pPr>
        <w:pStyle w:val="Normal"/>
        <w:rPr>
          <w:rFonts w:ascii="Arial Narrow" w:hAnsi="Arial Narrow" w:cs="Arial"/>
          <w:bCs/>
          <w:sz w:val="24"/>
          <w:szCs w:val="24"/>
        </w:rPr>
      </w:pPr>
      <w:r>
        <w:rPr>
          <w:rFonts w:cs="Arial" w:ascii="Arial Narrow" w:hAnsi="Arial Narrow"/>
          <w:bCs/>
          <w:sz w:val="24"/>
          <w:szCs w:val="24"/>
        </w:rPr>
      </w:r>
    </w:p>
    <w:p>
      <w:pPr>
        <w:pStyle w:val="Normal"/>
        <w:jc w:val="both"/>
        <w:rPr>
          <w:rFonts w:ascii="Arial Narrow" w:hAnsi="Arial Narrow" w:cs="Arial"/>
          <w:sz w:val="24"/>
          <w:szCs w:val="24"/>
        </w:rPr>
      </w:pPr>
      <w:r>
        <w:rPr>
          <w:rFonts w:cs="Arial" w:ascii="Arial Narrow" w:hAnsi="Arial Narrow"/>
          <w:bCs/>
          <w:sz w:val="24"/>
          <w:szCs w:val="24"/>
        </w:rPr>
        <w:t>A Dívida Pública Consolidada corresponde o montante total apurado das obrigações financeiras assumidas em virtude da realização de operações de crédito para amortização em prazo superior a doze meses, de parcelamentos de dívidas de contribuições sociais – INSS e FGTS e, obrigações com Precatórios.</w:t>
      </w:r>
    </w:p>
    <w:p>
      <w:pPr>
        <w:pStyle w:val="Normal"/>
        <w:jc w:val="both"/>
        <w:rPr>
          <w:rFonts w:ascii="Arial Narrow" w:hAnsi="Arial Narrow" w:cs="Arial"/>
          <w:sz w:val="24"/>
          <w:szCs w:val="24"/>
        </w:rPr>
      </w:pPr>
      <w:r>
        <w:rPr>
          <w:rFonts w:cs="Arial" w:ascii="Arial Narrow" w:hAnsi="Arial Narrow"/>
          <w:bCs/>
          <w:sz w:val="24"/>
          <w:szCs w:val="24"/>
        </w:rPr>
        <w:t>A Dívida Consolidada Líquida corresponde o montante total apurado da Dívida Pública Consolidada, deduzidos os valores das disponibilidades de caixa, das aplicações financeiras e dos demais haveres financeiros, se houver.</w:t>
      </w:r>
    </w:p>
    <w:p>
      <w:pPr>
        <w:pStyle w:val="Normal"/>
        <w:spacing w:lineRule="auto" w:line="240"/>
        <w:ind w:firstLine="2700"/>
        <w:jc w:val="both"/>
        <w:rPr>
          <w:rFonts w:ascii="Arial Narrow" w:hAnsi="Arial Narrow" w:cs="Arial"/>
          <w:sz w:val="24"/>
          <w:szCs w:val="24"/>
        </w:rPr>
      </w:pPr>
      <w:r>
        <w:rPr>
          <w:rFonts w:cs="Arial" w:ascii="Arial Narrow" w:hAnsi="Arial Narrow"/>
          <w:b/>
          <w:bCs/>
          <w:sz w:val="24"/>
          <w:szCs w:val="24"/>
          <w:u w:val="single"/>
        </w:rPr>
        <w:t>ANEXOS QUE COMPÕE O PROJETO DE LEI</w:t>
      </w:r>
      <w:r>
        <w:rPr>
          <w:rFonts w:cs="Arial" w:ascii="Arial Narrow" w:hAnsi="Arial Narrow"/>
          <w:sz w:val="24"/>
          <w:szCs w:val="24"/>
        </w:rPr>
        <w:t>:</w:t>
      </w:r>
    </w:p>
    <w:tbl>
      <w:tblPr>
        <w:tblW w:w="9698"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773"/>
        <w:gridCol w:w="3416"/>
        <w:gridCol w:w="775"/>
        <w:gridCol w:w="4733"/>
      </w:tblGrid>
      <w:tr>
        <w:trPr/>
        <w:tc>
          <w:tcPr>
            <w:tcW w:w="773"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pacing w:lineRule="auto" w:line="240" w:before="0" w:after="160"/>
              <w:jc w:val="both"/>
              <w:rPr>
                <w:rFonts w:ascii="Arial Narrow" w:hAnsi="Arial Narrow" w:cs="Arial"/>
                <w:sz w:val="24"/>
                <w:szCs w:val="24"/>
              </w:rPr>
            </w:pPr>
            <w:r>
              <w:rPr>
                <w:rFonts w:cs="Arial" w:ascii="Arial Narrow" w:hAnsi="Arial Narrow"/>
                <w:sz w:val="24"/>
                <w:szCs w:val="24"/>
              </w:rPr>
              <w:t>DCTO</w:t>
            </w:r>
          </w:p>
        </w:tc>
        <w:tc>
          <w:tcPr>
            <w:tcW w:w="3416"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pacing w:lineRule="auto" w:line="240" w:before="0" w:after="160"/>
              <w:jc w:val="both"/>
              <w:rPr>
                <w:rFonts w:ascii="Arial Narrow" w:hAnsi="Arial Narrow" w:cs="Arial"/>
                <w:sz w:val="24"/>
                <w:szCs w:val="24"/>
              </w:rPr>
            </w:pPr>
            <w:r>
              <w:rPr>
                <w:rFonts w:cs="Arial" w:ascii="Arial Narrow" w:hAnsi="Arial Narrow"/>
                <w:sz w:val="24"/>
                <w:szCs w:val="24"/>
              </w:rPr>
              <w:t>ESPECIFICAÇÃO</w:t>
            </w:r>
          </w:p>
        </w:tc>
        <w:tc>
          <w:tcPr>
            <w:tcW w:w="775"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pacing w:lineRule="auto" w:line="240" w:before="0" w:after="160"/>
              <w:jc w:val="both"/>
              <w:rPr>
                <w:rFonts w:ascii="Arial Narrow" w:hAnsi="Arial Narrow" w:cs="Arial"/>
                <w:sz w:val="24"/>
                <w:szCs w:val="24"/>
              </w:rPr>
            </w:pPr>
            <w:r>
              <w:rPr>
                <w:rFonts w:cs="Arial" w:ascii="Arial Narrow" w:hAnsi="Arial Narrow"/>
                <w:sz w:val="24"/>
                <w:szCs w:val="24"/>
              </w:rPr>
              <w:t>DCTO</w:t>
            </w:r>
          </w:p>
        </w:tc>
        <w:tc>
          <w:tcPr>
            <w:tcW w:w="4733"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spacing w:lineRule="auto" w:line="240" w:before="0" w:after="160"/>
              <w:jc w:val="both"/>
              <w:rPr>
                <w:rFonts w:ascii="Arial Narrow" w:hAnsi="Arial Narrow" w:cs="Arial"/>
                <w:sz w:val="24"/>
                <w:szCs w:val="24"/>
              </w:rPr>
            </w:pPr>
            <w:r>
              <w:rPr>
                <w:rFonts w:cs="Arial" w:ascii="Arial Narrow" w:hAnsi="Arial Narrow"/>
                <w:sz w:val="24"/>
                <w:szCs w:val="24"/>
              </w:rPr>
              <w:t>ESPECIFICAÇÃO</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01</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RELATÓRIO DE OBRAS EM ANDAMENTO</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02</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DE METAS FISCAIS, E A ANUAIS</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03</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EVOLUÇÃO DO PATRIMÔNIO LÍQUIDO</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04</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DE METAS FISCAIS</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05</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I</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06</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II</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07</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V</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08</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VI</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08</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VIII</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09</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ANALISE DA EVOLUÇÃO DA RECEITA;</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10</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ANALISE DA EVOLUÇÃO DA DESPESA</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11</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ANALISE DA EVOLUÇÃO DA RECEITA E DESPESA</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12</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DE METAS FISCAIS</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13</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DAS METAS FISCAIS CONSOLIDADO</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14</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RESULTADO PRIMÁRIO NOMINAL</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15</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TOTA DAS DESPESAS, 2021 A 2025</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16</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 xml:space="preserve">TOTAL DAS RECEITAS – 2021 A 2025 </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17</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I - METAS E PRIORIDADES</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18</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ANEXO DE RISCOS FISCAIS</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19</w:t>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DEMONSTRATIVO COM EDUCAÇÃO 3° QUADRIMESTRE DE 2022</w:t>
            </w:r>
          </w:p>
        </w:tc>
      </w:tr>
      <w:tr>
        <w:trPr/>
        <w:tc>
          <w:tcPr>
            <w:tcW w:w="7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20</w:t>
            </w:r>
          </w:p>
        </w:tc>
        <w:tc>
          <w:tcPr>
            <w:tcW w:w="3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t xml:space="preserve">ANEXO DA SEGURIDADE SOCIAL – SAÚDE </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r>
          </w:p>
        </w:tc>
        <w:tc>
          <w:tcPr>
            <w:tcW w:w="47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sz w:val="24"/>
                <w:szCs w:val="24"/>
              </w:rPr>
            </w:pPr>
            <w:r>
              <w:rPr>
                <w:rFonts w:cs="Arial" w:ascii="Arial Narrow" w:hAnsi="Arial Narrow"/>
                <w:sz w:val="24"/>
                <w:szCs w:val="24"/>
              </w:rPr>
            </w:r>
          </w:p>
        </w:tc>
      </w:tr>
    </w:tbl>
    <w:p>
      <w:pPr>
        <w:pStyle w:val="Normal"/>
        <w:spacing w:lineRule="auto" w:line="240"/>
        <w:ind w:firstLine="2700"/>
        <w:jc w:val="both"/>
        <w:rPr>
          <w:rFonts w:ascii="Arial Narrow" w:hAnsi="Arial Narrow" w:cs="Arial"/>
          <w:sz w:val="24"/>
          <w:szCs w:val="24"/>
          <w:lang w:eastAsia="zh-CN"/>
        </w:rPr>
      </w:pPr>
      <w:r>
        <w:rPr>
          <w:rFonts w:cs="Arial" w:ascii="Arial Narrow" w:hAnsi="Arial Narrow"/>
          <w:sz w:val="24"/>
          <w:szCs w:val="24"/>
          <w:lang w:eastAsia="zh-CN"/>
        </w:rPr>
      </w:r>
    </w:p>
    <w:p>
      <w:pPr>
        <w:pStyle w:val="Normal"/>
        <w:spacing w:lineRule="auto" w:line="240"/>
        <w:ind w:firstLine="2700"/>
        <w:jc w:val="both"/>
        <w:rPr>
          <w:rFonts w:ascii="Arial Narrow" w:hAnsi="Arial Narrow" w:cs="Arial"/>
          <w:sz w:val="24"/>
          <w:szCs w:val="24"/>
        </w:rPr>
      </w:pPr>
      <w:r>
        <w:rPr>
          <w:rFonts w:cs="Arial" w:ascii="Arial Narrow" w:hAnsi="Arial Narrow"/>
          <w:sz w:val="24"/>
          <w:szCs w:val="24"/>
        </w:rPr>
      </w:r>
    </w:p>
    <w:p>
      <w:pPr>
        <w:pStyle w:val="Normal"/>
        <w:spacing w:lineRule="auto" w:line="240"/>
        <w:ind w:firstLine="2700"/>
        <w:jc w:val="both"/>
        <w:rPr>
          <w:rFonts w:ascii="Arial Narrow" w:hAnsi="Arial Narrow" w:cs="Arial"/>
          <w:sz w:val="24"/>
          <w:szCs w:val="24"/>
        </w:rPr>
      </w:pPr>
      <w:r>
        <w:rPr>
          <w:rFonts w:cs="Arial" w:ascii="Arial Narrow" w:hAnsi="Arial Narrow"/>
          <w:sz w:val="24"/>
          <w:szCs w:val="24"/>
        </w:rPr>
      </w:r>
    </w:p>
    <w:p>
      <w:pPr>
        <w:pStyle w:val="Normal"/>
        <w:spacing w:lineRule="auto" w:line="240"/>
        <w:ind w:firstLine="2700"/>
        <w:jc w:val="both"/>
        <w:rPr>
          <w:rFonts w:ascii="Arial Narrow" w:hAnsi="Arial Narrow" w:cs="Arial"/>
          <w:sz w:val="24"/>
          <w:szCs w:val="24"/>
        </w:rPr>
      </w:pPr>
      <w:r>
        <w:rPr>
          <w:rFonts w:cs="Arial" w:ascii="Arial Narrow" w:hAnsi="Arial Narrow"/>
          <w:sz w:val="24"/>
          <w:szCs w:val="24"/>
        </w:rPr>
      </w:r>
    </w:p>
    <w:p>
      <w:pPr>
        <w:pStyle w:val="Normal"/>
        <w:spacing w:lineRule="auto" w:line="240"/>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7690" w:leader="none"/>
        </w:tabs>
        <w:spacing w:lineRule="auto" w:line="240" w:before="0" w:after="143"/>
        <w:ind w:firstLine="2700"/>
        <w:jc w:val="both"/>
        <w:rPr>
          <w:rFonts w:ascii="Arial Narrow" w:hAnsi="Arial Narrow" w:cs="Arial"/>
          <w:sz w:val="24"/>
          <w:szCs w:val="24"/>
        </w:rPr>
      </w:pPr>
      <w:r>
        <w:rPr>
          <w:rFonts w:cs="Arial" w:ascii="Arial Narrow" w:hAnsi="Arial Narrow"/>
          <w:sz w:val="24"/>
          <w:szCs w:val="24"/>
        </w:rPr>
      </w:r>
    </w:p>
    <w:p>
      <w:pPr>
        <w:pStyle w:val="Normal"/>
        <w:tabs>
          <w:tab w:val="clear" w:pos="709"/>
          <w:tab w:val="left" w:pos="7690" w:leader="none"/>
        </w:tabs>
        <w:spacing w:lineRule="auto" w:line="240" w:before="0" w:after="0"/>
        <w:jc w:val="center"/>
        <w:rPr>
          <w:rFonts w:ascii="Arial Narrow" w:hAnsi="Arial Narrow" w:cs="Arial"/>
          <w:sz w:val="24"/>
          <w:szCs w:val="24"/>
        </w:rPr>
      </w:pPr>
      <w:r>
        <w:rPr>
          <w:rFonts w:cs="Arial" w:ascii="Arial Narrow" w:hAnsi="Arial Narrow"/>
          <w:b/>
          <w:sz w:val="24"/>
          <w:szCs w:val="24"/>
        </w:rPr>
        <w:t>ELISANGELA PEDROSO DE OLIVEIRA NUNES</w:t>
      </w:r>
    </w:p>
    <w:p>
      <w:pPr>
        <w:pStyle w:val="Normal"/>
        <w:tabs>
          <w:tab w:val="clear" w:pos="709"/>
          <w:tab w:val="left" w:pos="7690" w:leader="none"/>
        </w:tabs>
        <w:spacing w:lineRule="auto" w:line="240" w:before="0" w:after="0"/>
        <w:jc w:val="center"/>
        <w:rPr>
          <w:rFonts w:ascii="Arial Narrow" w:hAnsi="Arial Narrow"/>
          <w:bCs/>
          <w:sz w:val="24"/>
          <w:szCs w:val="24"/>
        </w:rPr>
      </w:pPr>
      <w:r>
        <w:rPr>
          <w:rFonts w:eastAsia="Arial" w:cs="Arial" w:ascii="Arial Narrow" w:hAnsi="Arial Narrow"/>
          <w:bCs/>
          <w:iCs/>
          <w:sz w:val="24"/>
          <w:szCs w:val="24"/>
        </w:rPr>
        <w:t>PREFEITA MUNICIPAL</w:t>
      </w:r>
    </w:p>
    <w:p>
      <w:pPr>
        <w:pStyle w:val="Normal"/>
        <w:jc w:val="center"/>
        <w:rPr>
          <w:rFonts w:ascii="Arial Narrow" w:hAnsi="Arial Narrow"/>
          <w:bCs/>
          <w:sz w:val="24"/>
          <w:szCs w:val="24"/>
        </w:rPr>
      </w:pPr>
      <w:r>
        <w:rPr>
          <w:rFonts w:ascii="Arial Narrow" w:hAnsi="Arial Narrow"/>
          <w:bCs/>
          <w:sz w:val="24"/>
          <w:szCs w:val="24"/>
        </w:rPr>
      </w:r>
    </w:p>
    <w:p>
      <w:pPr>
        <w:pStyle w:val="Normal"/>
        <w:spacing w:before="0" w:after="160"/>
        <w:rPr>
          <w:rFonts w:ascii="Arial Narrow" w:hAnsi="Arial Narrow"/>
          <w:sz w:val="24"/>
          <w:szCs w:val="24"/>
        </w:rPr>
      </w:pPr>
      <w:r>
        <w:rPr/>
      </w:r>
    </w:p>
    <w:sectPr>
      <w:headerReference w:type="default" r:id="rId2"/>
      <w:footerReference w:type="default" r:id="rId3"/>
      <w:type w:val="nextPage"/>
      <w:pgSz w:w="11906" w:h="16838"/>
      <w:pgMar w:left="1233"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ambria">
    <w:charset w:val="00"/>
    <w:family w:val="swiss"/>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Zurich Ex BT">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Calisto MT">
    <w:charset w:val="00"/>
    <w:family w:val="roman"/>
    <w:pitch w:val="variable"/>
  </w:font>
  <w:font w:name="Arial Narrow">
    <w:charset w:val="00"/>
    <w:family w:val="roman"/>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Open Sans" w:hAnsi="Open Sans" w:cs="Open Sans"/>
        <w:b/>
        <w:b/>
        <w:bCs/>
        <w:color w:val="808080"/>
        <w:sz w:val="20"/>
        <w:szCs w:val="20"/>
      </w:rPr>
    </w:pPr>
    <w:r>
      <w:rPr>
        <w:rFonts w:cs="Open Sans" w:ascii="Open Sans" w:hAnsi="Open Sans"/>
        <w:b/>
        <w:bCs/>
        <w:color w:val="808080"/>
        <w:sz w:val="20"/>
        <w:szCs w:val="20"/>
      </w:rPr>
      <w:t>_______________________________________________________________________________________________</w:t>
    </w:r>
  </w:p>
  <w:p>
    <w:pPr>
      <w:pStyle w:val="Rodap"/>
      <w:jc w:val="center"/>
      <w:rPr>
        <w:rFonts w:ascii="Open Sans" w:hAnsi="Open Sans" w:cs="Open Sans"/>
        <w:b/>
        <w:b/>
        <w:bCs/>
        <w:color w:val="808080"/>
        <w:sz w:val="20"/>
        <w:szCs w:val="20"/>
      </w:rPr>
    </w:pPr>
    <w:r>
      <w:rPr>
        <w:rFonts w:cs="Open Sans" w:ascii="Open Sans" w:hAnsi="Open Sans"/>
        <w:b/>
        <w:bCs/>
        <w:color w:val="808080"/>
        <w:sz w:val="20"/>
        <w:szCs w:val="20"/>
      </w:rPr>
      <w:t>Avenida do Ouro, 1.355 - Jardim Europa CEP. 84.145-000 | CNPJ: 01.613.765/0001-60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anchor behindDoc="0" distT="0" distB="0" distL="114300" distR="114300" simplePos="0" locked="0" layoutInCell="0" allowOverlap="1" relativeHeight="12">
          <wp:simplePos x="0" y="0"/>
          <wp:positionH relativeFrom="column">
            <wp:posOffset>192405</wp:posOffset>
          </wp:positionH>
          <wp:positionV relativeFrom="paragraph">
            <wp:posOffset>-116205</wp:posOffset>
          </wp:positionV>
          <wp:extent cx="5706110" cy="654685"/>
          <wp:effectExtent l="0" t="0" r="0" b="0"/>
          <wp:wrapTight wrapText="bothSides">
            <wp:wrapPolygon edited="0">
              <wp:start x="214" y="0"/>
              <wp:lineTo x="-2" y="4396"/>
              <wp:lineTo x="-2" y="20735"/>
              <wp:lineTo x="214" y="20735"/>
              <wp:lineTo x="2017" y="20735"/>
              <wp:lineTo x="21559" y="18849"/>
              <wp:lineTo x="21559" y="625"/>
              <wp:lineTo x="2017" y="0"/>
              <wp:lineTo x="214" y="0"/>
            </wp:wrapPolygon>
          </wp:wrapTight>
          <wp:docPr id="1" name="Form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1" descr=""/>
                  <pic:cNvPicPr>
                    <a:picLocks noChangeAspect="1" noChangeArrowheads="1"/>
                  </pic:cNvPicPr>
                </pic:nvPicPr>
                <pic:blipFill>
                  <a:blip r:embed="rId1"/>
                  <a:stretch>
                    <a:fillRect/>
                  </a:stretch>
                </pic:blipFill>
                <pic:spPr bwMode="auto">
                  <a:xfrm>
                    <a:off x="0" y="0"/>
                    <a:ext cx="5706110" cy="654685"/>
                  </a:xfrm>
                  <a:prstGeom prst="rect">
                    <a:avLst/>
                  </a:prstGeom>
                </pic:spPr>
              </pic:pic>
            </a:graphicData>
          </a:graphic>
        </wp:anchor>
      </w:drawing>
    </w:r>
  </w:p>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sz w:val="24"/>
        <w:b/>
        <w:szCs w:val="2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3"/>
      <w:numFmt w:val="lowerLetter"/>
      <w:lvlText w:val="%1)"/>
      <w:lvlJc w:val="left"/>
      <w:pPr>
        <w:tabs>
          <w:tab w:val="num" w:pos="0"/>
        </w:tabs>
        <w:ind w:left="720" w:hanging="360"/>
      </w:pPr>
      <w:rPr>
        <w:u w:val="single"/>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1">
      <w:startOverride w:val="1"/>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51a5"/>
    <w:pPr>
      <w:widowControl/>
      <w:suppressAutoHyphens w:val="false"/>
      <w:bidi w:val="0"/>
      <w:spacing w:lineRule="auto" w:line="259" w:before="0" w:after="160"/>
      <w:jc w:val="left"/>
    </w:pPr>
    <w:rPr>
      <w:rFonts w:ascii="Calibri" w:hAnsi="Calibri" w:eastAsia="Calibri" w:cs="Calibri"/>
      <w:color w:val="auto"/>
      <w:kern w:val="0"/>
      <w:sz w:val="22"/>
      <w:szCs w:val="22"/>
      <w:lang w:eastAsia="en-US" w:val="pt-BR" w:bidi="ar-SA"/>
    </w:rPr>
  </w:style>
  <w:style w:type="paragraph" w:styleId="Ttulo1">
    <w:name w:val="Heading 1"/>
    <w:basedOn w:val="Normal"/>
    <w:next w:val="Normal"/>
    <w:link w:val="Ttulo1Char"/>
    <w:uiPriority w:val="9"/>
    <w:qFormat/>
    <w:rsid w:val="00f41221"/>
    <w:pPr>
      <w:keepNext w:val="true"/>
      <w:keepLines/>
      <w:suppressAutoHyphens w:val="true"/>
      <w:spacing w:lineRule="auto" w:line="240" w:before="240" w:after="0"/>
      <w:textAlignment w:val="baseline"/>
      <w:outlineLvl w:val="0"/>
    </w:pPr>
    <w:rPr>
      <w:rFonts w:ascii="Calibri Light" w:hAnsi="Calibri Light" w:eastAsia="Times New Roman" w:cs="Mangal"/>
      <w:color w:val="2F5496"/>
      <w:kern w:val="2"/>
      <w:sz w:val="32"/>
      <w:szCs w:val="29"/>
      <w:lang w:eastAsia="zh-CN" w:bidi="hi-IN"/>
    </w:rPr>
  </w:style>
  <w:style w:type="paragraph" w:styleId="Ttulo2">
    <w:name w:val="Heading 2"/>
    <w:basedOn w:val="Standard"/>
    <w:next w:val="Standard"/>
    <w:uiPriority w:val="9"/>
    <w:semiHidden/>
    <w:unhideWhenUsed/>
    <w:qFormat/>
    <w:pPr>
      <w:keepNext w:val="true"/>
      <w:spacing w:before="240" w:after="60"/>
      <w:outlineLvl w:val="1"/>
    </w:pPr>
    <w:rPr>
      <w:rFonts w:ascii="Cambria" w:hAnsi="Cambria" w:eastAsia="Times New Roman" w:cs="Cambria"/>
      <w:b/>
      <w:bCs/>
      <w:i/>
      <w:iCs/>
      <w:sz w:val="28"/>
      <w:szCs w:val="28"/>
    </w:rPr>
  </w:style>
  <w:style w:type="paragraph" w:styleId="Ttulo3">
    <w:name w:val="Heading 3"/>
    <w:basedOn w:val="Normal"/>
    <w:link w:val="Ttulo3Char"/>
    <w:uiPriority w:val="9"/>
    <w:unhideWhenUsed/>
    <w:qFormat/>
    <w:rsid w:val="00c57a78"/>
    <w:pPr>
      <w:widowControl w:val="false"/>
      <w:spacing w:lineRule="auto" w:line="240" w:before="0" w:after="0"/>
      <w:ind w:left="105" w:hanging="0"/>
      <w:jc w:val="both"/>
      <w:outlineLvl w:val="2"/>
    </w:pPr>
    <w:rPr>
      <w:rFonts w:ascii="Arial" w:hAnsi="Arial" w:eastAsia="Arial" w:cs="Arial"/>
      <w:b/>
      <w:bCs/>
      <w:lang w:val="pt-PT"/>
    </w:rPr>
  </w:style>
  <w:style w:type="character" w:styleId="DefaultParagraphFont" w:default="1">
    <w:name w:val="Default Paragraph Font"/>
    <w:uiPriority w:val="1"/>
    <w:semiHidden/>
    <w:unhideWhenUsed/>
    <w:qFormat/>
    <w:rPr/>
  </w:style>
  <w:style w:type="character" w:styleId="Fontepargpadro2" w:customStyle="1">
    <w:name w:val="Fonte parág. padrão2"/>
    <w:qFormat/>
    <w:rPr/>
  </w:style>
  <w:style w:type="character" w:styleId="Fontepargpadro1" w:customStyle="1">
    <w:name w:val="Fonte parág. padrão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z0" w:customStyle="1">
    <w:name w:val="WW8Num1z0"/>
    <w:qFormat/>
    <w:rPr>
      <w:rFonts w:ascii="Symbol" w:hAnsi="Symbol" w:eastAsia="Symbol" w:cs="OpenSymbol, 'Arial Unicode MS'"/>
    </w:rPr>
  </w:style>
  <w:style w:type="character" w:styleId="WWAbsatzStandardschriftart1111111111111" w:customStyle="1">
    <w:name w:val="WW-Absatz-Standardschriftart1111111111111"/>
    <w:qFormat/>
    <w:rPr/>
  </w:style>
  <w:style w:type="character" w:styleId="Marcas" w:customStyle="1">
    <w:name w:val="Marcas"/>
    <w:qFormat/>
    <w:rPr>
      <w:rFonts w:ascii="OpenSymbol, 'Arial Unicode MS'" w:hAnsi="OpenSymbol, 'Arial Unicode MS'" w:eastAsia="OpenSymbol, 'Arial Unicode MS'" w:cs="OpenSymbol, 'Arial Unicode MS'"/>
    </w:rPr>
  </w:style>
  <w:style w:type="character" w:styleId="CabealhoChar" w:customStyle="1">
    <w:name w:val="Cabeçalho Char"/>
    <w:qFormat/>
    <w:rPr>
      <w:rFonts w:ascii="Liberation Serif" w:hAnsi="Liberation Serif" w:eastAsia="Droid Sans Fallback" w:cs="Mangal"/>
      <w:kern w:val="2"/>
      <w:sz w:val="24"/>
      <w:szCs w:val="21"/>
      <w:lang w:eastAsia="zh-CN" w:bidi="hi-IN"/>
    </w:rPr>
  </w:style>
  <w:style w:type="character" w:styleId="RodapChar" w:customStyle="1">
    <w:name w:val="Rodapé Char"/>
    <w:qFormat/>
    <w:rPr>
      <w:rFonts w:ascii="Liberation Serif" w:hAnsi="Liberation Serif" w:eastAsia="Droid Sans Fallback" w:cs="Mangal"/>
      <w:kern w:val="2"/>
      <w:sz w:val="24"/>
      <w:szCs w:val="21"/>
      <w:lang w:eastAsia="zh-CN" w:bidi="hi-IN"/>
    </w:rPr>
  </w:style>
  <w:style w:type="character" w:styleId="Nfaseforte" w:customStyle="1">
    <w:name w:val="Ênfase forte"/>
    <w:qFormat/>
    <w:rPr>
      <w:b/>
      <w:bCs/>
    </w:rPr>
  </w:style>
  <w:style w:type="character" w:styleId="CorpodetextoChar" w:customStyle="1">
    <w:name w:val="Corpo de texto Char"/>
    <w:link w:val="Corpodetexto"/>
    <w:qFormat/>
    <w:rPr>
      <w:rFonts w:ascii="Zurich Ex BT" w:hAnsi="Zurich Ex BT" w:eastAsia="Times New Roman" w:cs="Zurich Ex BT"/>
      <w:kern w:val="2"/>
      <w:sz w:val="22"/>
    </w:rPr>
  </w:style>
  <w:style w:type="character" w:styleId="Ttulo2Char" w:customStyle="1">
    <w:name w:val="Título 2 Char"/>
    <w:qFormat/>
    <w:rPr>
      <w:rFonts w:ascii="Cambria" w:hAnsi="Cambria" w:eastAsia="Times New Roman" w:cs="Cambria"/>
      <w:b/>
      <w:bCs/>
      <w:i/>
      <w:iCs/>
      <w:sz w:val="28"/>
      <w:szCs w:val="28"/>
    </w:rPr>
  </w:style>
  <w:style w:type="character" w:styleId="Internetlink" w:customStyle="1">
    <w:name w:val="Hyperlink"/>
    <w:qFormat/>
    <w:rPr>
      <w:color w:val="0000FF"/>
      <w:u w:val="single"/>
    </w:rPr>
  </w:style>
  <w:style w:type="character" w:styleId="TextodebaloChar" w:customStyle="1">
    <w:name w:val="Texto de balão Char"/>
    <w:qFormat/>
    <w:rPr>
      <w:rFonts w:ascii="Tahoma" w:hAnsi="Tahoma" w:eastAsia="Tahoma" w:cs="Tahoma"/>
      <w:sz w:val="16"/>
      <w:szCs w:val="16"/>
    </w:rPr>
  </w:style>
  <w:style w:type="character" w:styleId="WWWW8Num1ztrue6" w:customStyle="1">
    <w:name w:val="WW-WW8Num1ztrue6"/>
    <w:qFormat/>
    <w:rPr/>
  </w:style>
  <w:style w:type="character" w:styleId="WWWW8Num1ztrue5" w:customStyle="1">
    <w:name w:val="WW-WW8Num1ztrue5"/>
    <w:qFormat/>
    <w:rPr/>
  </w:style>
  <w:style w:type="character" w:styleId="WWWW8Num1ztrue4" w:customStyle="1">
    <w:name w:val="WW-WW8Num1ztrue4"/>
    <w:qFormat/>
    <w:rPr/>
  </w:style>
  <w:style w:type="character" w:styleId="WWWW8Num1ztrue3" w:customStyle="1">
    <w:name w:val="WW-WW8Num1ztrue3"/>
    <w:qFormat/>
    <w:rPr/>
  </w:style>
  <w:style w:type="character" w:styleId="WWWW8Num1ztrue2" w:customStyle="1">
    <w:name w:val="WW-WW8Num1ztrue2"/>
    <w:qFormat/>
    <w:rPr/>
  </w:style>
  <w:style w:type="character" w:styleId="WWWW8Num1ztrue1" w:customStyle="1">
    <w:name w:val="WW-WW8Num1ztrue1"/>
    <w:qFormat/>
    <w:rPr/>
  </w:style>
  <w:style w:type="character" w:styleId="WWWW8Num1ztrue" w:customStyle="1">
    <w:name w:val="WW-WW8Num1ztrue"/>
    <w:qFormat/>
    <w:rPr/>
  </w:style>
  <w:style w:type="character" w:styleId="WW8Num1ztrue" w:customStyle="1">
    <w:name w:val="WW8Num1ztrue"/>
    <w:qFormat/>
    <w:rPr/>
  </w:style>
  <w:style w:type="character" w:styleId="WW8Num1zfalse" w:customStyle="1">
    <w:name w:val="WW8Num1zfalse"/>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2z0" w:customStyle="1">
    <w:name w:val="WW8Num2z0"/>
    <w:qFormat/>
    <w:rPr/>
  </w:style>
  <w:style w:type="character" w:styleId="Recuodecorpodetexto3Char" w:customStyle="1">
    <w:name w:val="Recuo de corpo de texto 3 Char"/>
    <w:qFormat/>
    <w:rPr>
      <w:rFonts w:ascii="Arial" w:hAnsi="Arial" w:eastAsia="Arial" w:cs="Arial"/>
      <w:spacing w:val="20"/>
      <w:sz w:val="22"/>
      <w:lang w:val="pt-BR" w:bidi="ar-SA"/>
    </w:rPr>
  </w:style>
  <w:style w:type="character" w:styleId="Caracteresdenotaderodap" w:customStyle="1">
    <w:name w:val="Caracteres de nota de rodapé"/>
    <w:qFormat/>
    <w:rPr/>
  </w:style>
  <w:style w:type="character" w:styleId="Ncoradanotaderodap" w:customStyle="1">
    <w:name w:val="Âncora da nota de rodapé"/>
    <w:rPr>
      <w:vertAlign w:val="superscript"/>
    </w:rPr>
  </w:style>
  <w:style w:type="character" w:styleId="Highlighton" w:customStyle="1">
    <w:name w:val="highlighton"/>
    <w:qFormat/>
    <w:rPr/>
  </w:style>
  <w:style w:type="character" w:styleId="Highlight" w:customStyle="1">
    <w:name w:val="highlight"/>
    <w:qFormat/>
    <w:rPr/>
  </w:style>
  <w:style w:type="character" w:styleId="VisitedInternetLink" w:customStyle="1">
    <w:name w:val="FollowedHyperlink"/>
    <w:qFormat/>
    <w:rPr>
      <w:color w:val="800000"/>
      <w:u w:val="single"/>
    </w:rPr>
  </w:style>
  <w:style w:type="character" w:styleId="Ttulo1Char" w:customStyle="1">
    <w:name w:val="Título 1 Char"/>
    <w:link w:val="Ttulo1"/>
    <w:uiPriority w:val="9"/>
    <w:qFormat/>
    <w:rsid w:val="00f41221"/>
    <w:rPr>
      <w:rFonts w:ascii="Calibri Light" w:hAnsi="Calibri Light" w:eastAsia="Times New Roman" w:cs="Mangal"/>
      <w:color w:val="2F5496"/>
      <w:sz w:val="32"/>
      <w:szCs w:val="29"/>
    </w:rPr>
  </w:style>
  <w:style w:type="character" w:styleId="Label" w:customStyle="1">
    <w:name w:val="label"/>
    <w:basedOn w:val="DefaultParagraphFont"/>
    <w:qFormat/>
    <w:rsid w:val="00f41221"/>
    <w:rPr/>
  </w:style>
  <w:style w:type="character" w:styleId="TextodenotaderodapChar" w:customStyle="1">
    <w:name w:val="Texto de nota de rodapé Char"/>
    <w:link w:val="Textodenotaderodap"/>
    <w:uiPriority w:val="99"/>
    <w:semiHidden/>
    <w:qFormat/>
    <w:rsid w:val="000a3e53"/>
    <w:rPr>
      <w:rFonts w:cs="Mangal"/>
      <w:sz w:val="20"/>
      <w:szCs w:val="18"/>
    </w:rPr>
  </w:style>
  <w:style w:type="character" w:styleId="FootnoteCharacters">
    <w:name w:val="Footnote Characters"/>
    <w:uiPriority w:val="99"/>
    <w:semiHidden/>
    <w:unhideWhenUsed/>
    <w:qFormat/>
    <w:rsid w:val="000a3e53"/>
    <w:rPr>
      <w:vertAlign w:val="superscript"/>
    </w:rPr>
  </w:style>
  <w:style w:type="character" w:styleId="LinkdaInternet">
    <w:name w:val="Link da Internet"/>
    <w:unhideWhenUsed/>
    <w:rsid w:val="000a3e53"/>
    <w:rPr>
      <w:color w:val="0000FF"/>
      <w:u w:val="single"/>
    </w:rPr>
  </w:style>
  <w:style w:type="character" w:styleId="UnresolvedMention">
    <w:name w:val="Unresolved Mention"/>
    <w:uiPriority w:val="99"/>
    <w:semiHidden/>
    <w:unhideWhenUsed/>
    <w:qFormat/>
    <w:rsid w:val="000a3e53"/>
    <w:rPr>
      <w:color w:val="605E5C"/>
      <w:shd w:fill="E1DFDD" w:val="clear"/>
    </w:rPr>
  </w:style>
  <w:style w:type="character" w:styleId="Ttulo3Char" w:customStyle="1">
    <w:name w:val="Título 3 Char"/>
    <w:basedOn w:val="DefaultParagraphFont"/>
    <w:link w:val="Ttulo3"/>
    <w:uiPriority w:val="9"/>
    <w:qFormat/>
    <w:rsid w:val="00c57a78"/>
    <w:rPr>
      <w:rFonts w:ascii="Arial" w:hAnsi="Arial" w:eastAsia="Arial"/>
      <w:b/>
      <w:bCs/>
      <w:sz w:val="22"/>
      <w:szCs w:val="22"/>
      <w:lang w:val="pt-PT" w:eastAsia="en-US"/>
    </w:rPr>
  </w:style>
  <w:style w:type="character" w:styleId="CorpodetextoChar1" w:customStyle="1">
    <w:name w:val="Corpo de texto Char1"/>
    <w:basedOn w:val="DefaultParagraphFont"/>
    <w:uiPriority w:val="99"/>
    <w:semiHidden/>
    <w:qFormat/>
    <w:rsid w:val="00b50237"/>
    <w:rPr>
      <w:rFonts w:ascii="Calibri" w:hAnsi="Calibri" w:eastAsia="Calibri" w:cs="Calibri"/>
      <w:sz w:val="22"/>
      <w:szCs w:val="22"/>
      <w:lang w:eastAsia="en-US"/>
    </w:rPr>
  </w:style>
  <w:style w:type="paragraph" w:styleId="Ttulo" w:customStyle="1">
    <w:name w:val="Título"/>
    <w:basedOn w:val="Standard"/>
    <w:next w:val="Textbody"/>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semiHidden/>
    <w:unhideWhenUsed/>
    <w:rsid w:val="00b50237"/>
    <w:pPr>
      <w:tabs>
        <w:tab w:val="clear" w:pos="709"/>
        <w:tab w:val="left" w:pos="-567" w:leader="none"/>
      </w:tabs>
      <w:suppressAutoHyphens w:val="true"/>
      <w:spacing w:lineRule="auto" w:line="240" w:before="0" w:after="0"/>
      <w:jc w:val="both"/>
    </w:pPr>
    <w:rPr>
      <w:rFonts w:ascii="Zurich Ex BT" w:hAnsi="Zurich Ex BT" w:eastAsia="Times New Roman" w:cs="Zurich Ex BT"/>
      <w:kern w:val="2"/>
      <w:szCs w:val="20"/>
      <w:lang w:eastAsia="pt-BR"/>
    </w:rPr>
  </w:style>
  <w:style w:type="paragraph" w:styleId="Lista">
    <w:name w:val="List"/>
    <w:basedOn w:val="Textbody"/>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val="false"/>
      <w:suppressAutoHyphens w:val="true"/>
      <w:bidi w:val="0"/>
      <w:spacing w:before="0" w:after="0"/>
      <w:jc w:val="left"/>
      <w:textAlignment w:val="baseline"/>
    </w:pPr>
    <w:rPr>
      <w:rFonts w:eastAsia="Droid Sans Fallback" w:cs="DejaVu Sans Condensed" w:ascii="Liberation Serif" w:hAnsi="Liberation Serif"/>
      <w:color w:val="auto"/>
      <w:kern w:val="2"/>
      <w:sz w:val="24"/>
      <w:szCs w:val="24"/>
      <w:lang w:eastAsia="zh-CN" w:bidi="hi-IN" w:val="pt-BR"/>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i/>
      <w:iCs/>
    </w:rPr>
  </w:style>
  <w:style w:type="paragraph" w:styleId="Ttulo31" w:customStyle="1">
    <w:name w:val="Título3"/>
    <w:basedOn w:val="Standard"/>
    <w:next w:val="Textbody"/>
    <w:qFormat/>
    <w:pPr>
      <w:keepNext w:val="true"/>
      <w:spacing w:before="240" w:after="120"/>
    </w:pPr>
    <w:rPr>
      <w:rFonts w:ascii="Arial" w:hAnsi="Arial" w:eastAsia="Microsoft YaHei" w:cs="Mangal"/>
      <w:sz w:val="28"/>
      <w:szCs w:val="28"/>
    </w:rPr>
  </w:style>
  <w:style w:type="paragraph" w:styleId="Ttulo21" w:customStyle="1">
    <w:name w:val="Título2"/>
    <w:basedOn w:val="Standard"/>
    <w:next w:val="Textbody"/>
    <w:qFormat/>
    <w:pPr>
      <w:keepNext w:val="true"/>
      <w:spacing w:before="240" w:after="120"/>
    </w:pPr>
    <w:rPr>
      <w:rFonts w:ascii="Liberation Sans" w:hAnsi="Liberation Sans" w:cs="FreeSans"/>
      <w:sz w:val="28"/>
      <w:szCs w:val="28"/>
    </w:rPr>
  </w:style>
  <w:style w:type="paragraph" w:styleId="Ttulo11" w:customStyle="1">
    <w:name w:val="Título1"/>
    <w:basedOn w:val="Standard"/>
    <w:next w:val="Textbody"/>
    <w:qFormat/>
    <w:pPr>
      <w:keepNext w:val="true"/>
      <w:spacing w:before="240" w:after="120"/>
    </w:pPr>
    <w:rPr>
      <w:rFonts w:ascii="Liberation Sans" w:hAnsi="Liberation Sans"/>
      <w:sz w:val="28"/>
      <w:szCs w:val="28"/>
    </w:rPr>
  </w:style>
  <w:style w:type="paragraph" w:styleId="CabealhoeRodap" w:customStyle="1">
    <w:name w:val="Cabeçalho e Rodapé"/>
    <w:basedOn w:val="Standard"/>
    <w:qFormat/>
    <w:pPr>
      <w:suppressLineNumbers/>
      <w:tabs>
        <w:tab w:val="clear" w:pos="709"/>
        <w:tab w:val="center" w:pos="4819" w:leader="none"/>
        <w:tab w:val="right" w:pos="9638" w:leader="none"/>
      </w:tabs>
    </w:pPr>
    <w:rPr/>
  </w:style>
  <w:style w:type="paragraph" w:styleId="Cabealho">
    <w:name w:val="Header"/>
    <w:basedOn w:val="Standard"/>
    <w:pPr>
      <w:tabs>
        <w:tab w:val="clear" w:pos="709"/>
        <w:tab w:val="center" w:pos="4252" w:leader="none"/>
        <w:tab w:val="right" w:pos="8504" w:leader="none"/>
      </w:tabs>
    </w:pPr>
    <w:rPr>
      <w:rFonts w:cs="Mangal"/>
      <w:szCs w:val="21"/>
    </w:rPr>
  </w:style>
  <w:style w:type="paragraph" w:styleId="Rodap">
    <w:name w:val="Footer"/>
    <w:basedOn w:val="Standard"/>
    <w:pPr>
      <w:tabs>
        <w:tab w:val="clear" w:pos="709"/>
        <w:tab w:val="center" w:pos="4252" w:leader="none"/>
        <w:tab w:val="right" w:pos="8504" w:leader="none"/>
      </w:tabs>
    </w:pPr>
    <w:rPr>
      <w:rFonts w:cs="Mangal"/>
      <w:szCs w:val="21"/>
    </w:rPr>
  </w:style>
  <w:style w:type="paragraph" w:styleId="LOnormal" w:customStyle="1">
    <w:name w:val="LO-normal"/>
    <w:qFormat/>
    <w:pPr>
      <w:widowControl/>
      <w:suppressAutoHyphens w:val="true"/>
      <w:bidi w:val="0"/>
      <w:spacing w:lineRule="auto" w:line="249" w:before="0" w:after="160"/>
      <w:jc w:val="left"/>
      <w:textAlignment w:val="baseline"/>
    </w:pPr>
    <w:rPr>
      <w:rFonts w:ascii="Calibri" w:hAnsi="Calibri" w:eastAsia="Calibri" w:cs="font363"/>
      <w:color w:val="00000A"/>
      <w:kern w:val="0"/>
      <w:sz w:val="22"/>
      <w:szCs w:val="22"/>
      <w:lang w:eastAsia="zh-CN" w:val="pt-BR" w:bidi="ar-SA"/>
    </w:rPr>
  </w:style>
  <w:style w:type="paragraph" w:styleId="Contedodatabela" w:customStyle="1">
    <w:name w:val="Conteúdo da tabela"/>
    <w:basedOn w:val="Normal"/>
    <w:qFormat/>
    <w:rsid w:val="00081b58"/>
    <w:pPr>
      <w:suppressLineNumbers/>
    </w:pPr>
    <w:rPr/>
  </w:style>
  <w:style w:type="paragraph" w:styleId="Corpodetexto31" w:customStyle="1">
    <w:name w:val="Corpo de texto 31"/>
    <w:basedOn w:val="Standard"/>
    <w:qFormat/>
    <w:pPr>
      <w:jc w:val="both"/>
    </w:pPr>
    <w:rPr>
      <w:rFonts w:ascii="Times New Roman" w:hAnsi="Times New Roman" w:eastAsia="Times New Roman" w:cs="Times New Roman"/>
    </w:rPr>
  </w:style>
  <w:style w:type="paragraph" w:styleId="Corpodetexto21" w:customStyle="1">
    <w:name w:val="Corpo de texto 21"/>
    <w:basedOn w:val="Standard"/>
    <w:qFormat/>
    <w:pPr>
      <w:tabs>
        <w:tab w:val="clear" w:pos="709"/>
        <w:tab w:val="left" w:pos="540" w:leader="none"/>
        <w:tab w:val="left" w:pos="3420" w:leader="none"/>
        <w:tab w:val="left" w:pos="3960" w:leader="none"/>
      </w:tabs>
      <w:jc w:val="both"/>
    </w:pPr>
    <w:rPr>
      <w:rFonts w:ascii="Times New Roman" w:hAnsi="Times New Roman" w:eastAsia="Times New Roman" w:cs="Times New Roman"/>
      <w:b/>
    </w:rPr>
  </w:style>
  <w:style w:type="paragraph" w:styleId="BalloonText">
    <w:name w:val="Balloon Text"/>
    <w:basedOn w:val="Standard"/>
    <w:qFormat/>
    <w:pPr/>
    <w:rPr>
      <w:rFonts w:ascii="Tahoma" w:hAnsi="Tahoma" w:eastAsia="Tahoma" w:cs="Tahoma"/>
      <w:sz w:val="16"/>
      <w:szCs w:val="16"/>
    </w:rPr>
  </w:style>
  <w:style w:type="paragraph" w:styleId="Textbodyindent" w:customStyle="1">
    <w:name w:val="Text body indent"/>
    <w:basedOn w:val="Standard"/>
    <w:qFormat/>
    <w:pPr>
      <w:spacing w:lineRule="auto" w:line="360"/>
      <w:ind w:firstLine="1134"/>
      <w:jc w:val="both"/>
    </w:pPr>
    <w:rPr>
      <w:rFonts w:ascii="Arial" w:hAnsi="Arial" w:eastAsia="Arial" w:cs="Arial"/>
      <w:sz w:val="22"/>
      <w:szCs w:val="20"/>
    </w:rPr>
  </w:style>
  <w:style w:type="paragraph" w:styleId="Subttulo">
    <w:name w:val="Subtitle"/>
    <w:basedOn w:val="Standard"/>
    <w:next w:val="Textbody"/>
    <w:uiPriority w:val="11"/>
    <w:qFormat/>
    <w:pPr>
      <w:jc w:val="both"/>
    </w:pPr>
    <w:rPr>
      <w:rFonts w:ascii="Calisto MT" w:hAnsi="Calisto MT" w:eastAsia="Calisto MT" w:cs="Calisto MT"/>
      <w:b/>
      <w:bCs/>
      <w:sz w:val="22"/>
      <w:szCs w:val="20"/>
    </w:rPr>
  </w:style>
  <w:style w:type="paragraph" w:styleId="Contedodoquadro" w:customStyle="1">
    <w:name w:val="Conteúdo do quadro"/>
    <w:basedOn w:val="Standard"/>
    <w:qFormat/>
    <w:pPr/>
    <w:rPr/>
  </w:style>
  <w:style w:type="paragraph" w:styleId="Default" w:customStyle="1">
    <w:name w:val="Default"/>
    <w:qFormat/>
    <w:pPr>
      <w:widowControl/>
      <w:suppressAutoHyphens w:val="true"/>
      <w:bidi w:val="0"/>
      <w:spacing w:before="0" w:after="0"/>
      <w:jc w:val="left"/>
      <w:textAlignment w:val="baseline"/>
    </w:pPr>
    <w:rPr>
      <w:rFonts w:ascii="Times New Roman" w:hAnsi="Times New Roman" w:eastAsia="Times New Roman" w:cs="Times New Roman"/>
      <w:color w:val="000000"/>
      <w:kern w:val="2"/>
      <w:sz w:val="24"/>
      <w:szCs w:val="24"/>
      <w:lang w:eastAsia="zh-CN" w:val="pt-BR" w:bidi="ar-SA"/>
    </w:rPr>
  </w:style>
  <w:style w:type="paragraph" w:styleId="CM12" w:customStyle="1">
    <w:name w:val="CM12"/>
    <w:basedOn w:val="Default"/>
    <w:next w:val="Default"/>
    <w:qFormat/>
    <w:pPr/>
    <w:rPr/>
  </w:style>
  <w:style w:type="paragraph" w:styleId="CM13" w:customStyle="1">
    <w:name w:val="CM13"/>
    <w:basedOn w:val="Default"/>
    <w:next w:val="Default"/>
    <w:qFormat/>
    <w:pPr/>
    <w:rPr/>
  </w:style>
  <w:style w:type="paragraph" w:styleId="CM9" w:customStyle="1">
    <w:name w:val="CM9"/>
    <w:basedOn w:val="Default"/>
    <w:next w:val="Default"/>
    <w:qFormat/>
    <w:pPr/>
    <w:rPr/>
  </w:style>
  <w:style w:type="paragraph" w:styleId="Footnote" w:customStyle="1">
    <w:name w:val="Footnote"/>
    <w:basedOn w:val="Standard"/>
    <w:qFormat/>
    <w:pPr>
      <w:suppressLineNumbers/>
      <w:ind w:left="339" w:hanging="339"/>
    </w:pPr>
    <w:rPr>
      <w:sz w:val="20"/>
      <w:szCs w:val="20"/>
    </w:rPr>
  </w:style>
  <w:style w:type="paragraph" w:styleId="BodyTextIndent2">
    <w:name w:val="Body Text Indent 2"/>
    <w:basedOn w:val="Standard"/>
    <w:qFormat/>
    <w:pPr>
      <w:spacing w:lineRule="auto" w:line="480" w:before="0" w:after="120"/>
      <w:ind w:left="283" w:hanging="0"/>
    </w:pPr>
    <w:rPr/>
  </w:style>
  <w:style w:type="paragraph" w:styleId="NormalWeb">
    <w:name w:val="Normal (Web)"/>
    <w:basedOn w:val="Standard"/>
    <w:qFormat/>
    <w:pPr>
      <w:spacing w:before="280" w:after="280"/>
    </w:pPr>
    <w:rPr/>
  </w:style>
  <w:style w:type="paragraph" w:styleId="Recuodecorpodetexto31" w:customStyle="1">
    <w:name w:val="Recuo de corpo de texto 31"/>
    <w:basedOn w:val="Standard"/>
    <w:qFormat/>
    <w:pPr>
      <w:spacing w:lineRule="auto" w:line="360"/>
      <w:ind w:firstLine="2835"/>
      <w:jc w:val="both"/>
    </w:pPr>
    <w:rPr>
      <w:i/>
      <w:sz w:val="28"/>
    </w:rPr>
  </w:style>
  <w:style w:type="paragraph" w:styleId="PAR" w:customStyle="1">
    <w:name w:val="PAR"/>
    <w:basedOn w:val="Standard"/>
    <w:qFormat/>
    <w:pPr>
      <w:spacing w:before="0" w:after="240"/>
      <w:ind w:firstLine="2835"/>
      <w:jc w:val="both"/>
    </w:pPr>
    <w:rPr/>
  </w:style>
  <w:style w:type="paragraph" w:styleId="Notaderodap">
    <w:name w:val="Footnote Text"/>
    <w:basedOn w:val="Normal"/>
    <w:link w:val="TextodenotaderodapChar"/>
    <w:uiPriority w:val="99"/>
    <w:semiHidden/>
    <w:unhideWhenUsed/>
    <w:rsid w:val="000a3e53"/>
    <w:pPr>
      <w:suppressAutoHyphens w:val="true"/>
      <w:spacing w:lineRule="auto" w:line="240" w:before="0" w:after="0"/>
      <w:textAlignment w:val="baseline"/>
    </w:pPr>
    <w:rPr>
      <w:rFonts w:ascii="Liberation Serif" w:hAnsi="Liberation Serif" w:eastAsia="NSimSun" w:cs="Mangal"/>
      <w:kern w:val="2"/>
      <w:sz w:val="20"/>
      <w:szCs w:val="18"/>
      <w:lang w:eastAsia="zh-CN" w:bidi="hi-IN"/>
    </w:rPr>
  </w:style>
  <w:style w:type="paragraph" w:styleId="ListParagraph">
    <w:name w:val="List Paragraph"/>
    <w:basedOn w:val="Normal"/>
    <w:uiPriority w:val="34"/>
    <w:qFormat/>
    <w:rsid w:val="00bb563d"/>
    <w:pPr>
      <w:suppressAutoHyphens w:val="true"/>
      <w:spacing w:lineRule="auto" w:line="240" w:before="0" w:after="0"/>
      <w:ind w:left="720" w:hanging="0"/>
      <w:contextualSpacing/>
      <w:textAlignment w:val="baseline"/>
    </w:pPr>
    <w:rPr>
      <w:rFonts w:ascii="Liberation Serif" w:hAnsi="Liberation Serif" w:eastAsia="NSimSun" w:cs="Mangal"/>
      <w:kern w:val="2"/>
      <w:sz w:val="24"/>
      <w:szCs w:val="21"/>
      <w:lang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0424E-0F32-47E2-BDF0-3F8EE8B9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PL_ALTERAÇÃO LEI MUNICIPAL 689.2009_CONS. MUN. TURISMO_30.05.2022</Template>
  <TotalTime>26</TotalTime>
  <Application>LibreOffice/7.0.3.1$Windows_X86_64 LibreOffice_project/d7547858d014d4cf69878db179d326fc3483e082</Application>
  <Pages>13</Pages>
  <Words>3990</Words>
  <Characters>21120</Characters>
  <CharactersWithSpaces>25153</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2023-06-28T17:41:00Z</dcterms:created>
  <dc:creator>Eric Dudik</dc:creator>
  <dc:description/>
  <dc:language>pt-BR</dc:language>
  <cp:lastModifiedBy>Tamires Siqueira</cp:lastModifiedBy>
  <cp:lastPrinted>2023-06-28T18:17:00Z</cp:lastPrinted>
  <dcterms:modified xsi:type="dcterms:W3CDTF">2023-06-28T18:19:00Z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