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C70" w:rsidRDefault="00074C70" w:rsidP="00B0228D">
      <w:pPr>
        <w:spacing w:line="360" w:lineRule="auto"/>
        <w:jc w:val="both"/>
        <w:rPr>
          <w:rFonts w:ascii="Arial" w:hAnsi="Arial" w:cs="Arial"/>
          <w:b/>
        </w:rPr>
      </w:pPr>
      <w:r w:rsidRPr="00B0228D">
        <w:rPr>
          <w:rFonts w:ascii="Arial" w:hAnsi="Arial" w:cs="Arial"/>
          <w:b/>
        </w:rPr>
        <w:t xml:space="preserve">Ofício nº. </w:t>
      </w:r>
      <w:r w:rsidR="0015759F">
        <w:rPr>
          <w:rFonts w:ascii="Arial" w:hAnsi="Arial" w:cs="Arial"/>
          <w:b/>
        </w:rPr>
        <w:t>243</w:t>
      </w:r>
      <w:r w:rsidR="001B429F">
        <w:rPr>
          <w:rFonts w:ascii="Arial" w:hAnsi="Arial" w:cs="Arial"/>
          <w:b/>
        </w:rPr>
        <w:t>/2019</w:t>
      </w:r>
    </w:p>
    <w:p w:rsidR="00D3442C" w:rsidRPr="00F0025A" w:rsidRDefault="00D3442C" w:rsidP="00B0228D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F0025A">
        <w:rPr>
          <w:rFonts w:ascii="Arial" w:hAnsi="Arial" w:cs="Arial"/>
          <w:b/>
          <w:sz w:val="20"/>
        </w:rPr>
        <w:t>(Ref.</w:t>
      </w:r>
      <w:r w:rsidR="0015759F">
        <w:rPr>
          <w:rFonts w:ascii="Arial" w:hAnsi="Arial" w:cs="Arial"/>
          <w:b/>
          <w:sz w:val="20"/>
        </w:rPr>
        <w:t xml:space="preserve"> Processo </w:t>
      </w:r>
      <w:r w:rsidRPr="00F0025A">
        <w:rPr>
          <w:rFonts w:ascii="Arial" w:hAnsi="Arial" w:cs="Arial"/>
          <w:b/>
          <w:sz w:val="20"/>
        </w:rPr>
        <w:t xml:space="preserve">nº </w:t>
      </w:r>
      <w:r w:rsidR="0015759F">
        <w:rPr>
          <w:rFonts w:ascii="Arial" w:hAnsi="Arial" w:cs="Arial"/>
          <w:b/>
          <w:sz w:val="20"/>
        </w:rPr>
        <w:t>0000895-25.2012.8.16.0064</w:t>
      </w:r>
      <w:r w:rsidRPr="00F0025A">
        <w:rPr>
          <w:rFonts w:ascii="Arial" w:hAnsi="Arial" w:cs="Arial"/>
          <w:b/>
          <w:sz w:val="20"/>
        </w:rPr>
        <w:t xml:space="preserve">) </w:t>
      </w:r>
    </w:p>
    <w:p w:rsidR="00074C70" w:rsidRPr="00B0228D" w:rsidRDefault="00074C70" w:rsidP="00B0228D">
      <w:pPr>
        <w:spacing w:line="360" w:lineRule="auto"/>
        <w:jc w:val="both"/>
        <w:rPr>
          <w:rFonts w:ascii="Arial" w:hAnsi="Arial" w:cs="Arial"/>
          <w:b/>
        </w:rPr>
      </w:pPr>
    </w:p>
    <w:p w:rsidR="00074C70" w:rsidRPr="003810B7" w:rsidRDefault="00074C70" w:rsidP="00B0228D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 w:rsidRPr="003810B7">
        <w:rPr>
          <w:rFonts w:ascii="Arial" w:hAnsi="Arial" w:cs="Arial"/>
          <w:b/>
          <w:sz w:val="22"/>
          <w:szCs w:val="22"/>
        </w:rPr>
        <w:t xml:space="preserve">Carambeí, </w:t>
      </w:r>
      <w:r w:rsidR="00CE7D8C" w:rsidRPr="003810B7">
        <w:rPr>
          <w:rFonts w:ascii="Arial" w:hAnsi="Arial" w:cs="Arial"/>
          <w:b/>
          <w:sz w:val="22"/>
          <w:szCs w:val="22"/>
        </w:rPr>
        <w:t>11</w:t>
      </w:r>
      <w:r w:rsidR="00421949" w:rsidRPr="003810B7">
        <w:rPr>
          <w:rFonts w:ascii="Arial" w:hAnsi="Arial" w:cs="Arial"/>
          <w:b/>
          <w:sz w:val="22"/>
          <w:szCs w:val="22"/>
        </w:rPr>
        <w:t xml:space="preserve"> de </w:t>
      </w:r>
      <w:r w:rsidR="0015759F" w:rsidRPr="003810B7">
        <w:rPr>
          <w:rFonts w:ascii="Arial" w:hAnsi="Arial" w:cs="Arial"/>
          <w:b/>
          <w:sz w:val="22"/>
          <w:szCs w:val="22"/>
        </w:rPr>
        <w:t>março</w:t>
      </w:r>
      <w:r w:rsidR="00421949" w:rsidRPr="003810B7">
        <w:rPr>
          <w:rFonts w:ascii="Arial" w:hAnsi="Arial" w:cs="Arial"/>
          <w:b/>
          <w:sz w:val="22"/>
          <w:szCs w:val="22"/>
        </w:rPr>
        <w:t xml:space="preserve"> de 2019</w:t>
      </w:r>
      <w:r w:rsidRPr="003810B7">
        <w:rPr>
          <w:rFonts w:ascii="Arial" w:hAnsi="Arial" w:cs="Arial"/>
          <w:b/>
          <w:sz w:val="22"/>
          <w:szCs w:val="22"/>
        </w:rPr>
        <w:t>.</w:t>
      </w:r>
    </w:p>
    <w:p w:rsidR="00074C70" w:rsidRPr="003810B7" w:rsidRDefault="00074C70" w:rsidP="00B0228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4C70" w:rsidRPr="003810B7" w:rsidRDefault="00074C70" w:rsidP="00B0228D">
      <w:pPr>
        <w:jc w:val="both"/>
        <w:rPr>
          <w:rFonts w:ascii="Arial" w:hAnsi="Arial" w:cs="Arial"/>
          <w:sz w:val="22"/>
          <w:szCs w:val="22"/>
        </w:rPr>
      </w:pPr>
      <w:r w:rsidRPr="003810B7">
        <w:rPr>
          <w:rFonts w:ascii="Arial" w:hAnsi="Arial" w:cs="Arial"/>
          <w:sz w:val="22"/>
          <w:szCs w:val="22"/>
        </w:rPr>
        <w:t>Ao Excelentíssimo Senhor</w:t>
      </w:r>
    </w:p>
    <w:p w:rsidR="00074C70" w:rsidRPr="003810B7" w:rsidRDefault="0015759F" w:rsidP="00B0228D">
      <w:pPr>
        <w:jc w:val="both"/>
        <w:rPr>
          <w:rFonts w:ascii="Arial" w:hAnsi="Arial" w:cs="Arial"/>
          <w:b/>
          <w:sz w:val="22"/>
          <w:szCs w:val="22"/>
        </w:rPr>
      </w:pPr>
      <w:r w:rsidRPr="003810B7">
        <w:rPr>
          <w:rFonts w:ascii="Arial" w:hAnsi="Arial" w:cs="Arial"/>
          <w:b/>
          <w:sz w:val="22"/>
          <w:szCs w:val="22"/>
        </w:rPr>
        <w:t>Dr. RODRIGO YABATA ENDO</w:t>
      </w:r>
    </w:p>
    <w:p w:rsidR="00074C70" w:rsidRPr="003810B7" w:rsidRDefault="0015759F" w:rsidP="00B0228D">
      <w:pPr>
        <w:jc w:val="both"/>
        <w:rPr>
          <w:rFonts w:ascii="Arial" w:hAnsi="Arial" w:cs="Arial"/>
          <w:sz w:val="22"/>
          <w:szCs w:val="22"/>
        </w:rPr>
      </w:pPr>
      <w:r w:rsidRPr="003810B7">
        <w:rPr>
          <w:rFonts w:ascii="Arial" w:hAnsi="Arial" w:cs="Arial"/>
          <w:sz w:val="22"/>
          <w:szCs w:val="22"/>
        </w:rPr>
        <w:t>Juiz de Direito</w:t>
      </w:r>
    </w:p>
    <w:p w:rsidR="00074C70" w:rsidRPr="003810B7" w:rsidRDefault="00D3442C" w:rsidP="00B0228D">
      <w:pPr>
        <w:jc w:val="both"/>
        <w:rPr>
          <w:rFonts w:ascii="Arial" w:hAnsi="Arial" w:cs="Arial"/>
          <w:sz w:val="22"/>
          <w:szCs w:val="22"/>
        </w:rPr>
      </w:pPr>
      <w:r w:rsidRPr="003810B7">
        <w:rPr>
          <w:rFonts w:ascii="Arial" w:hAnsi="Arial" w:cs="Arial"/>
          <w:sz w:val="22"/>
          <w:szCs w:val="22"/>
        </w:rPr>
        <w:t>Castro – Paraná</w:t>
      </w:r>
    </w:p>
    <w:p w:rsidR="00FC6476" w:rsidRPr="003810B7" w:rsidRDefault="00FC6476" w:rsidP="00B0228D">
      <w:pPr>
        <w:tabs>
          <w:tab w:val="left" w:pos="601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B74BE" w:rsidRPr="003810B7" w:rsidRDefault="009B74BE" w:rsidP="00B0228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B74BE" w:rsidRPr="003810B7" w:rsidRDefault="009B74BE" w:rsidP="00B0228D">
      <w:pPr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  <w:r w:rsidRPr="003810B7">
        <w:rPr>
          <w:rFonts w:ascii="Arial" w:hAnsi="Arial" w:cs="Arial"/>
          <w:b/>
          <w:sz w:val="22"/>
          <w:szCs w:val="22"/>
        </w:rPr>
        <w:t>Excelentíssimo Senhor:</w:t>
      </w:r>
    </w:p>
    <w:p w:rsidR="009B74BE" w:rsidRPr="003810B7" w:rsidRDefault="009B74BE" w:rsidP="00B0228D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:rsidR="0016696A" w:rsidRPr="003810B7" w:rsidRDefault="0015759F" w:rsidP="0015759F">
      <w:pPr>
        <w:tabs>
          <w:tab w:val="left" w:pos="709"/>
        </w:tabs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3810B7">
        <w:rPr>
          <w:rFonts w:ascii="Arial" w:hAnsi="Arial" w:cs="Arial"/>
          <w:sz w:val="22"/>
          <w:szCs w:val="22"/>
        </w:rPr>
        <w:t xml:space="preserve">Em resposta </w:t>
      </w:r>
      <w:r w:rsidR="00BC3EA1">
        <w:rPr>
          <w:rFonts w:ascii="Arial" w:hAnsi="Arial" w:cs="Arial"/>
          <w:sz w:val="22"/>
          <w:szCs w:val="22"/>
        </w:rPr>
        <w:t>ao ofício nº 243/2019, recebido</w:t>
      </w:r>
      <w:r w:rsidRPr="003810B7">
        <w:rPr>
          <w:rFonts w:ascii="Arial" w:hAnsi="Arial" w:cs="Arial"/>
          <w:sz w:val="22"/>
          <w:szCs w:val="22"/>
        </w:rPr>
        <w:t xml:space="preserve"> por esta Câmara Municipal de Carambeí em 1º de março de 2019, que </w:t>
      </w:r>
      <w:r w:rsidR="00BC3EA1">
        <w:rPr>
          <w:rFonts w:ascii="Arial" w:hAnsi="Arial" w:cs="Arial"/>
          <w:sz w:val="22"/>
          <w:szCs w:val="22"/>
        </w:rPr>
        <w:t>solicitou a informação sobre</w:t>
      </w:r>
      <w:r w:rsidR="00E62784" w:rsidRPr="003810B7">
        <w:rPr>
          <w:rFonts w:ascii="Arial" w:hAnsi="Arial" w:cs="Arial"/>
          <w:sz w:val="22"/>
          <w:szCs w:val="22"/>
        </w:rPr>
        <w:t xml:space="preserve"> os valores objetos da exordial dos autos nº 0000898-25.2012.8.16.0064 Ação Civil Pública de Ressarcimento de Danos Causados ao Patrimônio Púbico, foram devidamente ressarcidos</w:t>
      </w:r>
      <w:r w:rsidR="00BC3EA1">
        <w:rPr>
          <w:rFonts w:ascii="Arial" w:hAnsi="Arial" w:cs="Arial"/>
          <w:sz w:val="22"/>
          <w:szCs w:val="22"/>
        </w:rPr>
        <w:t xml:space="preserve"> aos cofres públicos.</w:t>
      </w:r>
    </w:p>
    <w:p w:rsidR="00E62784" w:rsidRPr="003810B7" w:rsidRDefault="00E62784" w:rsidP="0015759F">
      <w:pPr>
        <w:tabs>
          <w:tab w:val="left" w:pos="709"/>
        </w:tabs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:rsidR="00E62784" w:rsidRPr="003810B7" w:rsidRDefault="00E62784" w:rsidP="0015759F">
      <w:pPr>
        <w:tabs>
          <w:tab w:val="left" w:pos="709"/>
        </w:tabs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3810B7">
        <w:rPr>
          <w:rFonts w:ascii="Arial" w:hAnsi="Arial" w:cs="Arial"/>
          <w:sz w:val="22"/>
          <w:szCs w:val="22"/>
        </w:rPr>
        <w:t xml:space="preserve">A Câmara de Vereadores não possui personalidade jurídica, </w:t>
      </w:r>
      <w:proofErr w:type="gramStart"/>
      <w:r w:rsidRPr="003810B7">
        <w:rPr>
          <w:rFonts w:ascii="Arial" w:hAnsi="Arial" w:cs="Arial"/>
          <w:sz w:val="22"/>
          <w:szCs w:val="22"/>
        </w:rPr>
        <w:t>apenas</w:t>
      </w:r>
      <w:proofErr w:type="gramEnd"/>
      <w:r w:rsidRPr="003810B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810B7">
        <w:rPr>
          <w:rFonts w:ascii="Arial" w:hAnsi="Arial" w:cs="Arial"/>
          <w:sz w:val="22"/>
          <w:szCs w:val="22"/>
        </w:rPr>
        <w:t>personalidade</w:t>
      </w:r>
      <w:proofErr w:type="gramEnd"/>
      <w:r w:rsidR="003810B7" w:rsidRPr="003810B7">
        <w:rPr>
          <w:rFonts w:ascii="Arial" w:hAnsi="Arial" w:cs="Arial"/>
          <w:sz w:val="22"/>
          <w:szCs w:val="22"/>
        </w:rPr>
        <w:t xml:space="preserve"> judiciária</w:t>
      </w:r>
      <w:r w:rsidRPr="003810B7">
        <w:rPr>
          <w:rFonts w:ascii="Arial" w:hAnsi="Arial" w:cs="Arial"/>
          <w:sz w:val="22"/>
          <w:szCs w:val="22"/>
        </w:rPr>
        <w:t>, de modo que somente pode demandar em juízo para defender seus direitos institucionais, entendidos esses como sendo os relacionados ao funcionamento, autonomia e independência dos órgãos.</w:t>
      </w:r>
    </w:p>
    <w:p w:rsidR="00E62784" w:rsidRPr="003810B7" w:rsidRDefault="00E62784" w:rsidP="0015759F">
      <w:pPr>
        <w:tabs>
          <w:tab w:val="left" w:pos="709"/>
        </w:tabs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:rsidR="00E62784" w:rsidRPr="003810B7" w:rsidRDefault="00E62784" w:rsidP="0015759F">
      <w:pPr>
        <w:tabs>
          <w:tab w:val="left" w:pos="709"/>
        </w:tabs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3810B7">
        <w:rPr>
          <w:rFonts w:ascii="Arial" w:hAnsi="Arial" w:cs="Arial"/>
          <w:sz w:val="22"/>
          <w:szCs w:val="22"/>
        </w:rPr>
        <w:t xml:space="preserve">Da mesma maneira que a Câmara Municipal só tem uma fonte de origem orçamentária que é o repasse do valor pelo Poder Executivo, </w:t>
      </w:r>
      <w:r w:rsidR="003810B7" w:rsidRPr="003810B7">
        <w:rPr>
          <w:rFonts w:ascii="Arial" w:hAnsi="Arial" w:cs="Arial"/>
          <w:sz w:val="22"/>
          <w:szCs w:val="22"/>
        </w:rPr>
        <w:t xml:space="preserve">não cabe </w:t>
      </w:r>
      <w:proofErr w:type="gramStart"/>
      <w:r w:rsidR="003810B7" w:rsidRPr="003810B7">
        <w:rPr>
          <w:rFonts w:ascii="Arial" w:hAnsi="Arial" w:cs="Arial"/>
          <w:sz w:val="22"/>
          <w:szCs w:val="22"/>
        </w:rPr>
        <w:t>à</w:t>
      </w:r>
      <w:proofErr w:type="gramEnd"/>
      <w:r w:rsidR="003810B7" w:rsidRPr="003810B7">
        <w:rPr>
          <w:rFonts w:ascii="Arial" w:hAnsi="Arial" w:cs="Arial"/>
          <w:sz w:val="22"/>
          <w:szCs w:val="22"/>
        </w:rPr>
        <w:t xml:space="preserve"> ela receber valores</w:t>
      </w:r>
      <w:r w:rsidRPr="003810B7">
        <w:rPr>
          <w:rFonts w:ascii="Arial" w:hAnsi="Arial" w:cs="Arial"/>
          <w:sz w:val="22"/>
          <w:szCs w:val="22"/>
        </w:rPr>
        <w:t xml:space="preserve"> de ressarcimentos</w:t>
      </w:r>
      <w:r w:rsidR="003810B7" w:rsidRPr="003810B7">
        <w:rPr>
          <w:rFonts w:ascii="Arial" w:hAnsi="Arial" w:cs="Arial"/>
          <w:sz w:val="22"/>
          <w:szCs w:val="22"/>
        </w:rPr>
        <w:t>, multas,</w:t>
      </w:r>
      <w:r w:rsidRPr="003810B7">
        <w:rPr>
          <w:rFonts w:ascii="Arial" w:hAnsi="Arial" w:cs="Arial"/>
          <w:sz w:val="22"/>
          <w:szCs w:val="22"/>
        </w:rPr>
        <w:t xml:space="preserve"> entre outros.</w:t>
      </w:r>
    </w:p>
    <w:p w:rsidR="00E62784" w:rsidRPr="003810B7" w:rsidRDefault="00E62784" w:rsidP="0015759F">
      <w:pPr>
        <w:tabs>
          <w:tab w:val="left" w:pos="709"/>
        </w:tabs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:rsidR="0016696A" w:rsidRPr="003810B7" w:rsidRDefault="00E62784" w:rsidP="00E62784">
      <w:pPr>
        <w:tabs>
          <w:tab w:val="left" w:pos="709"/>
        </w:tabs>
        <w:spacing w:line="360" w:lineRule="auto"/>
        <w:ind w:firstLine="1134"/>
        <w:jc w:val="both"/>
        <w:rPr>
          <w:rFonts w:ascii="Arial Narrow" w:hAnsi="Arial Narrow" w:cs="Arial"/>
          <w:sz w:val="22"/>
          <w:szCs w:val="22"/>
        </w:rPr>
      </w:pPr>
      <w:r w:rsidRPr="003810B7">
        <w:rPr>
          <w:rFonts w:ascii="Arial" w:hAnsi="Arial" w:cs="Arial"/>
          <w:sz w:val="22"/>
          <w:szCs w:val="22"/>
        </w:rPr>
        <w:t xml:space="preserve">Portanto é somente a Prefeitura Municipal de Carambeí que poderá </w:t>
      </w:r>
      <w:proofErr w:type="gramStart"/>
      <w:r w:rsidRPr="003810B7">
        <w:rPr>
          <w:rFonts w:ascii="Arial" w:hAnsi="Arial" w:cs="Arial"/>
          <w:sz w:val="22"/>
          <w:szCs w:val="22"/>
        </w:rPr>
        <w:t>solicitar,</w:t>
      </w:r>
      <w:proofErr w:type="gramEnd"/>
      <w:r w:rsidRPr="003810B7">
        <w:rPr>
          <w:rFonts w:ascii="Arial" w:hAnsi="Arial" w:cs="Arial"/>
          <w:sz w:val="22"/>
          <w:szCs w:val="22"/>
        </w:rPr>
        <w:t xml:space="preserve"> cobrar, executar e receber qualquer ressarcimento determinado pelo Poder Judiciário.</w:t>
      </w:r>
      <w:r w:rsidRPr="003810B7">
        <w:rPr>
          <w:rFonts w:ascii="Arial Narrow" w:hAnsi="Arial Narrow" w:cs="Arial"/>
          <w:sz w:val="22"/>
          <w:szCs w:val="22"/>
        </w:rPr>
        <w:t xml:space="preserve"> </w:t>
      </w:r>
    </w:p>
    <w:p w:rsidR="003810B7" w:rsidRPr="003810B7" w:rsidRDefault="003810B7" w:rsidP="00E62784">
      <w:pPr>
        <w:tabs>
          <w:tab w:val="left" w:pos="709"/>
        </w:tabs>
        <w:spacing w:line="360" w:lineRule="auto"/>
        <w:ind w:firstLine="1134"/>
        <w:jc w:val="both"/>
        <w:rPr>
          <w:rFonts w:ascii="Arial Narrow" w:hAnsi="Arial Narrow" w:cs="Arial"/>
          <w:sz w:val="22"/>
          <w:szCs w:val="22"/>
        </w:rPr>
      </w:pPr>
    </w:p>
    <w:p w:rsidR="00421949" w:rsidRPr="003810B7" w:rsidRDefault="00796697" w:rsidP="00BC3EA1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3810B7">
        <w:rPr>
          <w:rFonts w:ascii="Arial" w:hAnsi="Arial" w:cs="Arial"/>
          <w:sz w:val="22"/>
          <w:szCs w:val="22"/>
        </w:rPr>
        <w:t>Atenciosamente,</w:t>
      </w:r>
      <w:bookmarkStart w:id="0" w:name="_GoBack"/>
      <w:bookmarkEnd w:id="0"/>
    </w:p>
    <w:p w:rsidR="00421949" w:rsidRPr="003810B7" w:rsidRDefault="00421949" w:rsidP="00B0228D">
      <w:pPr>
        <w:spacing w:line="360" w:lineRule="auto"/>
        <w:ind w:firstLine="432"/>
        <w:jc w:val="both"/>
        <w:rPr>
          <w:rFonts w:ascii="Arial" w:hAnsi="Arial" w:cs="Arial"/>
          <w:sz w:val="22"/>
          <w:szCs w:val="22"/>
        </w:rPr>
      </w:pPr>
    </w:p>
    <w:p w:rsidR="00166B8C" w:rsidRPr="003810B7" w:rsidRDefault="00166B8C" w:rsidP="0090033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3810B7">
        <w:rPr>
          <w:rFonts w:ascii="Arial" w:hAnsi="Arial" w:cs="Arial"/>
          <w:b/>
          <w:sz w:val="22"/>
          <w:szCs w:val="22"/>
        </w:rPr>
        <w:t>D</w:t>
      </w:r>
      <w:r w:rsidR="000D3F4C" w:rsidRPr="003810B7">
        <w:rPr>
          <w:rFonts w:ascii="Arial" w:hAnsi="Arial" w:cs="Arial"/>
          <w:b/>
          <w:sz w:val="22"/>
          <w:szCs w:val="22"/>
        </w:rPr>
        <w:t xml:space="preserve">IEGO </w:t>
      </w:r>
      <w:r w:rsidR="00900335" w:rsidRPr="003810B7">
        <w:rPr>
          <w:rFonts w:ascii="Arial" w:hAnsi="Arial" w:cs="Arial"/>
          <w:b/>
          <w:sz w:val="22"/>
          <w:szCs w:val="22"/>
        </w:rPr>
        <w:t>DE JESUS DA SILVA</w:t>
      </w:r>
    </w:p>
    <w:p w:rsidR="00B41E79" w:rsidRPr="003810B7" w:rsidRDefault="00166B8C" w:rsidP="00900335">
      <w:pPr>
        <w:numPr>
          <w:ilvl w:val="0"/>
          <w:numId w:val="1"/>
        </w:numPr>
        <w:suppressAutoHyphens/>
        <w:jc w:val="center"/>
        <w:rPr>
          <w:rFonts w:ascii="Arial" w:hAnsi="Arial" w:cs="Arial"/>
          <w:b/>
          <w:sz w:val="22"/>
          <w:szCs w:val="22"/>
        </w:rPr>
      </w:pPr>
      <w:r w:rsidRPr="003810B7">
        <w:rPr>
          <w:rFonts w:ascii="Arial" w:hAnsi="Arial" w:cs="Arial"/>
          <w:b/>
          <w:sz w:val="22"/>
          <w:szCs w:val="22"/>
        </w:rPr>
        <w:t>P</w:t>
      </w:r>
      <w:r w:rsidR="000D3F4C" w:rsidRPr="003810B7">
        <w:rPr>
          <w:rFonts w:ascii="Arial" w:hAnsi="Arial" w:cs="Arial"/>
          <w:b/>
          <w:sz w:val="22"/>
          <w:szCs w:val="22"/>
        </w:rPr>
        <w:t>RESIDENTE</w:t>
      </w:r>
    </w:p>
    <w:sectPr w:rsidR="00B41E79" w:rsidRPr="003810B7" w:rsidSect="00B0228D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6" w:h="16838"/>
      <w:pgMar w:top="657" w:right="1134" w:bottom="1134" w:left="1701" w:header="426" w:footer="403" w:gutter="0"/>
      <w:pgNumType w:start="81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42C" w:rsidRDefault="00D3442C">
      <w:r>
        <w:separator/>
      </w:r>
    </w:p>
  </w:endnote>
  <w:endnote w:type="continuationSeparator" w:id="0">
    <w:p w:rsidR="00D3442C" w:rsidRDefault="00D3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42C" w:rsidRDefault="00D3442C" w:rsidP="0029685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3442C" w:rsidRDefault="00D3442C" w:rsidP="0029685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42C" w:rsidRDefault="00D3442C" w:rsidP="00296856">
    <w:pPr>
      <w:pStyle w:val="Cabealho"/>
      <w:framePr w:wrap="around" w:vAnchor="text" w:hAnchor="margin" w:xAlign="right" w:y="1"/>
      <w:jc w:val="center"/>
      <w:rPr>
        <w:color w:val="808080"/>
      </w:rPr>
    </w:pPr>
  </w:p>
  <w:p w:rsidR="00D3442C" w:rsidRPr="00B0228D" w:rsidRDefault="00D3442C" w:rsidP="00296856">
    <w:pPr>
      <w:pStyle w:val="Cabealho"/>
      <w:framePr w:wrap="around" w:vAnchor="text" w:hAnchor="margin" w:xAlign="right" w:y="1"/>
      <w:jc w:val="center"/>
    </w:pPr>
    <w:r w:rsidRPr="00B0228D">
      <w:t>Rua da Prata, 99 – Fone (42) 3231-1668 CEP 84145-000 – Carambeí – Paraná</w:t>
    </w:r>
  </w:p>
  <w:p w:rsidR="00D3442C" w:rsidRPr="00B0228D" w:rsidRDefault="00D3442C" w:rsidP="00296856">
    <w:pPr>
      <w:pStyle w:val="Cabealho"/>
      <w:framePr w:wrap="around" w:vAnchor="text" w:hAnchor="margin" w:xAlign="right" w:y="1"/>
      <w:jc w:val="center"/>
      <w:rPr>
        <w:rStyle w:val="Nmerodepgina"/>
      </w:rPr>
    </w:pPr>
    <w:r w:rsidRPr="00B0228D">
      <w:t>www.carambei.pr.leg.br</w:t>
    </w:r>
  </w:p>
  <w:p w:rsidR="00D3442C" w:rsidRDefault="00D3442C" w:rsidP="00296856">
    <w:pPr>
      <w:pStyle w:val="Rodap"/>
      <w:framePr w:wrap="around" w:vAnchor="text" w:hAnchor="margin" w:xAlign="right" w:y="1"/>
      <w:ind w:right="360"/>
      <w:rPr>
        <w:rStyle w:val="Nmerodepgina"/>
      </w:rPr>
    </w:pPr>
  </w:p>
  <w:p w:rsidR="00D3442C" w:rsidRDefault="00D3442C" w:rsidP="0029685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42C" w:rsidRDefault="00D3442C">
      <w:r>
        <w:separator/>
      </w:r>
    </w:p>
  </w:footnote>
  <w:footnote w:type="continuationSeparator" w:id="0">
    <w:p w:rsidR="00D3442C" w:rsidRDefault="00D34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42C" w:rsidRDefault="00D3442C" w:rsidP="0029685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3442C" w:rsidRDefault="00D3442C" w:rsidP="00296856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42C" w:rsidRDefault="00D3442C" w:rsidP="00B0228D">
    <w:pPr>
      <w:pStyle w:val="Cabealho"/>
      <w:framePr w:w="289" w:h="352" w:hRule="exact" w:wrap="around" w:vAnchor="text" w:hAnchor="page" w:x="11221" w:y="56"/>
      <w:jc w:val="right"/>
      <w:rPr>
        <w:rStyle w:val="Nmerodepgina"/>
      </w:rPr>
    </w:pPr>
  </w:p>
  <w:p w:rsidR="00D3442C" w:rsidRDefault="00D3442C" w:rsidP="00B0228D">
    <w:pPr>
      <w:pStyle w:val="Cabealho"/>
      <w:framePr w:w="289" w:h="352" w:hRule="exact" w:wrap="around" w:vAnchor="text" w:hAnchor="page" w:x="11221" w:y="56"/>
      <w:jc w:val="right"/>
      <w:rPr>
        <w:rStyle w:val="Nmerodepgina"/>
      </w:rPr>
    </w:pPr>
  </w:p>
  <w:tbl>
    <w:tblPr>
      <w:tblStyle w:val="Tabelacomgrade"/>
      <w:tblW w:w="9299" w:type="dxa"/>
      <w:tblLayout w:type="fixed"/>
      <w:tblLook w:val="04A0" w:firstRow="1" w:lastRow="0" w:firstColumn="1" w:lastColumn="0" w:noHBand="0" w:noVBand="1"/>
    </w:tblPr>
    <w:tblGrid>
      <w:gridCol w:w="1811"/>
      <w:gridCol w:w="7488"/>
    </w:tblGrid>
    <w:tr w:rsidR="00D3442C" w:rsidTr="00B0228D">
      <w:trPr>
        <w:trHeight w:val="1630"/>
      </w:trPr>
      <w:tc>
        <w:tcPr>
          <w:tcW w:w="1811" w:type="dxa"/>
          <w:tcBorders>
            <w:top w:val="nil"/>
            <w:left w:val="nil"/>
            <w:bottom w:val="nil"/>
            <w:right w:val="nil"/>
          </w:tcBorders>
        </w:tcPr>
        <w:p w:rsidR="00D3442C" w:rsidRPr="00B0228D" w:rsidRDefault="00D3442C" w:rsidP="00B0228D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-1137920</wp:posOffset>
                </wp:positionV>
                <wp:extent cx="1092835" cy="1057275"/>
                <wp:effectExtent l="19050" t="0" r="0" b="0"/>
                <wp:wrapTight wrapText="bothSides">
                  <wp:wrapPolygon edited="0">
                    <wp:start x="-377" y="0"/>
                    <wp:lineTo x="-377" y="21405"/>
                    <wp:lineTo x="21462" y="21405"/>
                    <wp:lineTo x="21462" y="0"/>
                    <wp:lineTo x="-377" y="0"/>
                  </wp:wrapPolygon>
                </wp:wrapTight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1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83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488" w:type="dxa"/>
          <w:tcBorders>
            <w:top w:val="nil"/>
            <w:left w:val="nil"/>
            <w:bottom w:val="nil"/>
            <w:right w:val="nil"/>
          </w:tcBorders>
        </w:tcPr>
        <w:p w:rsidR="00D3442C" w:rsidRDefault="00D3442C" w:rsidP="00B0228D">
          <w:pPr>
            <w:pStyle w:val="Cabealho"/>
            <w:ind w:firstLine="708"/>
            <w:jc w:val="center"/>
            <w:rPr>
              <w:rFonts w:ascii="Arial" w:hAnsi="Arial" w:cs="Arial"/>
              <w:b/>
              <w:sz w:val="40"/>
            </w:rPr>
          </w:pPr>
        </w:p>
        <w:p w:rsidR="00D3442C" w:rsidRPr="00B0228D" w:rsidRDefault="00D3442C" w:rsidP="00B0228D">
          <w:pPr>
            <w:pStyle w:val="Cabealho"/>
            <w:jc w:val="center"/>
            <w:rPr>
              <w:rFonts w:ascii="Arial" w:hAnsi="Arial" w:cs="Arial"/>
              <w:b/>
              <w:sz w:val="40"/>
            </w:rPr>
          </w:pPr>
          <w:r w:rsidRPr="00B0228D">
            <w:rPr>
              <w:rFonts w:ascii="Arial" w:hAnsi="Arial" w:cs="Arial"/>
              <w:b/>
              <w:sz w:val="40"/>
            </w:rPr>
            <w:t>CÂMARA MUNICIPAL DE CARAMBEÍ</w:t>
          </w:r>
        </w:p>
        <w:p w:rsidR="00D3442C" w:rsidRPr="00B0228D" w:rsidRDefault="00D3442C" w:rsidP="00B0228D">
          <w:pPr>
            <w:pStyle w:val="Cabealho"/>
            <w:ind w:firstLine="708"/>
            <w:jc w:val="center"/>
            <w:rPr>
              <w:rFonts w:ascii="Arial" w:hAnsi="Arial" w:cs="Arial"/>
              <w:b/>
              <w:sz w:val="10"/>
            </w:rPr>
          </w:pPr>
        </w:p>
        <w:p w:rsidR="00D3442C" w:rsidRPr="00B0228D" w:rsidRDefault="00D3442C" w:rsidP="00421949">
          <w:pPr>
            <w:pStyle w:val="Cabealho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GABINETE</w:t>
          </w:r>
          <w:r w:rsidRPr="00B0228D">
            <w:rPr>
              <w:rFonts w:ascii="Arial" w:hAnsi="Arial" w:cs="Arial"/>
              <w:b/>
              <w:sz w:val="24"/>
            </w:rPr>
            <w:t xml:space="preserve"> DA PRESIDÊNCIA</w:t>
          </w:r>
        </w:p>
      </w:tc>
    </w:tr>
  </w:tbl>
  <w:p w:rsidR="00D3442C" w:rsidRPr="00B0228D" w:rsidRDefault="00D3442C" w:rsidP="00B0228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1F"/>
    <w:rsid w:val="000062D0"/>
    <w:rsid w:val="000277F7"/>
    <w:rsid w:val="00031113"/>
    <w:rsid w:val="000331F2"/>
    <w:rsid w:val="00036268"/>
    <w:rsid w:val="00074C70"/>
    <w:rsid w:val="000A4BA4"/>
    <w:rsid w:val="000A59D6"/>
    <w:rsid w:val="000B0FF5"/>
    <w:rsid w:val="000B468B"/>
    <w:rsid w:val="000D3F4C"/>
    <w:rsid w:val="000E0B26"/>
    <w:rsid w:val="000E0EB0"/>
    <w:rsid w:val="000F60A2"/>
    <w:rsid w:val="000F7975"/>
    <w:rsid w:val="001079CE"/>
    <w:rsid w:val="00113BD3"/>
    <w:rsid w:val="00116CCD"/>
    <w:rsid w:val="00147AB0"/>
    <w:rsid w:val="00150626"/>
    <w:rsid w:val="0015759F"/>
    <w:rsid w:val="0016696A"/>
    <w:rsid w:val="00166B8C"/>
    <w:rsid w:val="001741FA"/>
    <w:rsid w:val="00187A5D"/>
    <w:rsid w:val="001A3607"/>
    <w:rsid w:val="001B429F"/>
    <w:rsid w:val="00207CFA"/>
    <w:rsid w:val="00216DC0"/>
    <w:rsid w:val="0024259E"/>
    <w:rsid w:val="00252682"/>
    <w:rsid w:val="0027045F"/>
    <w:rsid w:val="00276E4A"/>
    <w:rsid w:val="00282225"/>
    <w:rsid w:val="002844E6"/>
    <w:rsid w:val="00291643"/>
    <w:rsid w:val="00291EFB"/>
    <w:rsid w:val="00296856"/>
    <w:rsid w:val="002A7C47"/>
    <w:rsid w:val="002B1E9F"/>
    <w:rsid w:val="002D34E0"/>
    <w:rsid w:val="002D567B"/>
    <w:rsid w:val="00301957"/>
    <w:rsid w:val="003063B7"/>
    <w:rsid w:val="00341B86"/>
    <w:rsid w:val="003511D4"/>
    <w:rsid w:val="00355AE9"/>
    <w:rsid w:val="003810B7"/>
    <w:rsid w:val="003814E4"/>
    <w:rsid w:val="00381A6E"/>
    <w:rsid w:val="003A6A92"/>
    <w:rsid w:val="00404786"/>
    <w:rsid w:val="00414BE4"/>
    <w:rsid w:val="00421949"/>
    <w:rsid w:val="004245C4"/>
    <w:rsid w:val="00424E8F"/>
    <w:rsid w:val="004316EE"/>
    <w:rsid w:val="0045057D"/>
    <w:rsid w:val="0045769E"/>
    <w:rsid w:val="00461CB1"/>
    <w:rsid w:val="004736C3"/>
    <w:rsid w:val="004743A8"/>
    <w:rsid w:val="004939A8"/>
    <w:rsid w:val="004C6AAA"/>
    <w:rsid w:val="004D3F15"/>
    <w:rsid w:val="004F52D7"/>
    <w:rsid w:val="004F6CFB"/>
    <w:rsid w:val="0050287C"/>
    <w:rsid w:val="00515F3F"/>
    <w:rsid w:val="005256B1"/>
    <w:rsid w:val="00531AB3"/>
    <w:rsid w:val="00555759"/>
    <w:rsid w:val="005655E4"/>
    <w:rsid w:val="0057652E"/>
    <w:rsid w:val="005A0F06"/>
    <w:rsid w:val="005D5E1F"/>
    <w:rsid w:val="00603E4A"/>
    <w:rsid w:val="00606771"/>
    <w:rsid w:val="00610D1F"/>
    <w:rsid w:val="0061393C"/>
    <w:rsid w:val="00613A0B"/>
    <w:rsid w:val="006146CC"/>
    <w:rsid w:val="0062271A"/>
    <w:rsid w:val="00634A1F"/>
    <w:rsid w:val="00664508"/>
    <w:rsid w:val="006738BD"/>
    <w:rsid w:val="00681915"/>
    <w:rsid w:val="00686E93"/>
    <w:rsid w:val="00690145"/>
    <w:rsid w:val="006B7A0A"/>
    <w:rsid w:val="006D1F31"/>
    <w:rsid w:val="006D5BDC"/>
    <w:rsid w:val="006E436A"/>
    <w:rsid w:val="006F77A6"/>
    <w:rsid w:val="00701EAE"/>
    <w:rsid w:val="00717C0C"/>
    <w:rsid w:val="007413B7"/>
    <w:rsid w:val="0077397B"/>
    <w:rsid w:val="007816DB"/>
    <w:rsid w:val="00796697"/>
    <w:rsid w:val="007A3792"/>
    <w:rsid w:val="007C0CB3"/>
    <w:rsid w:val="007C144D"/>
    <w:rsid w:val="007C7316"/>
    <w:rsid w:val="007D29D0"/>
    <w:rsid w:val="007F369E"/>
    <w:rsid w:val="007F53A2"/>
    <w:rsid w:val="00813C72"/>
    <w:rsid w:val="00821CC4"/>
    <w:rsid w:val="00834593"/>
    <w:rsid w:val="008503C6"/>
    <w:rsid w:val="008634E1"/>
    <w:rsid w:val="00864EE4"/>
    <w:rsid w:val="008816A4"/>
    <w:rsid w:val="008A29A0"/>
    <w:rsid w:val="008C421B"/>
    <w:rsid w:val="008F1984"/>
    <w:rsid w:val="008F7A52"/>
    <w:rsid w:val="00900335"/>
    <w:rsid w:val="009040AE"/>
    <w:rsid w:val="00904CEF"/>
    <w:rsid w:val="009052E1"/>
    <w:rsid w:val="009119FC"/>
    <w:rsid w:val="00921097"/>
    <w:rsid w:val="00954D8A"/>
    <w:rsid w:val="00971463"/>
    <w:rsid w:val="00980AE6"/>
    <w:rsid w:val="009919B5"/>
    <w:rsid w:val="009B62F4"/>
    <w:rsid w:val="009B74BE"/>
    <w:rsid w:val="009B75A0"/>
    <w:rsid w:val="009D21AC"/>
    <w:rsid w:val="009D4392"/>
    <w:rsid w:val="009D4AE8"/>
    <w:rsid w:val="009E399B"/>
    <w:rsid w:val="009F2190"/>
    <w:rsid w:val="00A047F1"/>
    <w:rsid w:val="00A065AD"/>
    <w:rsid w:val="00A06BC2"/>
    <w:rsid w:val="00A22378"/>
    <w:rsid w:val="00A427A9"/>
    <w:rsid w:val="00A43286"/>
    <w:rsid w:val="00A45789"/>
    <w:rsid w:val="00A46E9B"/>
    <w:rsid w:val="00A668B9"/>
    <w:rsid w:val="00A74CC3"/>
    <w:rsid w:val="00A92402"/>
    <w:rsid w:val="00AB0728"/>
    <w:rsid w:val="00AE7BFA"/>
    <w:rsid w:val="00AF2FF3"/>
    <w:rsid w:val="00AF50DC"/>
    <w:rsid w:val="00AF58DE"/>
    <w:rsid w:val="00B0228D"/>
    <w:rsid w:val="00B364EF"/>
    <w:rsid w:val="00B407D9"/>
    <w:rsid w:val="00B41E79"/>
    <w:rsid w:val="00B82ECE"/>
    <w:rsid w:val="00B86A8D"/>
    <w:rsid w:val="00B94515"/>
    <w:rsid w:val="00BA1BB2"/>
    <w:rsid w:val="00BA6691"/>
    <w:rsid w:val="00BC3EA1"/>
    <w:rsid w:val="00BF22D0"/>
    <w:rsid w:val="00C01C41"/>
    <w:rsid w:val="00C06B83"/>
    <w:rsid w:val="00C1484D"/>
    <w:rsid w:val="00C34425"/>
    <w:rsid w:val="00C53A71"/>
    <w:rsid w:val="00C54252"/>
    <w:rsid w:val="00C56B82"/>
    <w:rsid w:val="00C77C23"/>
    <w:rsid w:val="00C81B2B"/>
    <w:rsid w:val="00C90DA3"/>
    <w:rsid w:val="00C91E95"/>
    <w:rsid w:val="00CC378F"/>
    <w:rsid w:val="00CD31E9"/>
    <w:rsid w:val="00CE3559"/>
    <w:rsid w:val="00CE68B6"/>
    <w:rsid w:val="00CE7D8C"/>
    <w:rsid w:val="00D02F40"/>
    <w:rsid w:val="00D07664"/>
    <w:rsid w:val="00D106F9"/>
    <w:rsid w:val="00D22467"/>
    <w:rsid w:val="00D301B1"/>
    <w:rsid w:val="00D30735"/>
    <w:rsid w:val="00D3442C"/>
    <w:rsid w:val="00D62155"/>
    <w:rsid w:val="00D72789"/>
    <w:rsid w:val="00D829EE"/>
    <w:rsid w:val="00D84911"/>
    <w:rsid w:val="00D8528D"/>
    <w:rsid w:val="00DB551F"/>
    <w:rsid w:val="00DC366E"/>
    <w:rsid w:val="00DD2D9A"/>
    <w:rsid w:val="00DD4418"/>
    <w:rsid w:val="00DF56C1"/>
    <w:rsid w:val="00E05507"/>
    <w:rsid w:val="00E21816"/>
    <w:rsid w:val="00E235BD"/>
    <w:rsid w:val="00E32F50"/>
    <w:rsid w:val="00E62784"/>
    <w:rsid w:val="00E96514"/>
    <w:rsid w:val="00EB21D0"/>
    <w:rsid w:val="00EB6716"/>
    <w:rsid w:val="00EC1657"/>
    <w:rsid w:val="00EC2098"/>
    <w:rsid w:val="00EE38B5"/>
    <w:rsid w:val="00EE4B33"/>
    <w:rsid w:val="00EF5F1C"/>
    <w:rsid w:val="00F0025A"/>
    <w:rsid w:val="00F021DC"/>
    <w:rsid w:val="00F36A01"/>
    <w:rsid w:val="00F57861"/>
    <w:rsid w:val="00F63442"/>
    <w:rsid w:val="00F923EE"/>
    <w:rsid w:val="00FA18F8"/>
    <w:rsid w:val="00FB23CD"/>
    <w:rsid w:val="00FB6603"/>
    <w:rsid w:val="00FC6476"/>
    <w:rsid w:val="00FD5F8F"/>
    <w:rsid w:val="00FE3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paragraph" w:styleId="NormalWeb">
    <w:name w:val="Normal (Web)"/>
    <w:basedOn w:val="Normal"/>
    <w:uiPriority w:val="99"/>
    <w:unhideWhenUsed/>
    <w:rsid w:val="00613A0B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796697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B23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23CD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paragraph" w:styleId="NormalWeb">
    <w:name w:val="Normal (Web)"/>
    <w:basedOn w:val="Normal"/>
    <w:uiPriority w:val="99"/>
    <w:unhideWhenUsed/>
    <w:rsid w:val="00613A0B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796697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B23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23C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7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2C037-5247-4D0F-ADEF-98F0DF1EC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2019-02-11T18:56:00Z</cp:lastPrinted>
  <dcterms:created xsi:type="dcterms:W3CDTF">2019-03-11T18:09:00Z</dcterms:created>
  <dcterms:modified xsi:type="dcterms:W3CDTF">2019-03-11T18:46:00Z</dcterms:modified>
</cp:coreProperties>
</file>